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6219F" w14:textId="6C602582" w:rsidR="008938C6" w:rsidRDefault="00A252EB" w:rsidP="008938C6">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Lisa 2</w:t>
      </w:r>
    </w:p>
    <w:p w14:paraId="7208601D" w14:textId="77777777" w:rsidR="008938C6" w:rsidRDefault="008938C6" w:rsidP="00515FB0">
      <w:pPr>
        <w:spacing w:after="0" w:line="240" w:lineRule="auto"/>
        <w:jc w:val="center"/>
        <w:rPr>
          <w:rFonts w:ascii="Times New Roman" w:hAnsi="Times New Roman" w:cs="Times New Roman"/>
          <w:b/>
          <w:bCs/>
          <w:sz w:val="28"/>
          <w:szCs w:val="28"/>
        </w:rPr>
      </w:pPr>
    </w:p>
    <w:p w14:paraId="70E29812" w14:textId="7561B0A2" w:rsidR="00646D94" w:rsidRDefault="00A252EB" w:rsidP="008938C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Kooskõlastustabel</w:t>
      </w:r>
    </w:p>
    <w:p w14:paraId="6DE37BAB" w14:textId="2969887F" w:rsidR="005E321D" w:rsidRDefault="005E321D" w:rsidP="004C0AA2">
      <w:pPr>
        <w:spacing w:after="0" w:line="240" w:lineRule="auto"/>
        <w:jc w:val="both"/>
        <w:rPr>
          <w:rFonts w:ascii="Times New Roman" w:hAnsi="Times New Roman" w:cs="Times New Roman"/>
          <w:b/>
          <w:bCs/>
          <w:sz w:val="28"/>
          <w:szCs w:val="28"/>
        </w:rPr>
      </w:pPr>
    </w:p>
    <w:p w14:paraId="15EBFC27" w14:textId="5BC6A2DD" w:rsidR="000A081A" w:rsidRPr="00D56484" w:rsidRDefault="00A54969" w:rsidP="00813F7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0</w:t>
      </w:r>
      <w:r w:rsidR="003E215E">
        <w:rPr>
          <w:rFonts w:ascii="Times New Roman" w:hAnsi="Times New Roman" w:cs="Times New Roman"/>
          <w:sz w:val="28"/>
          <w:szCs w:val="28"/>
        </w:rPr>
        <w:t>8</w:t>
      </w:r>
      <w:r w:rsidR="007B68E8">
        <w:rPr>
          <w:rFonts w:ascii="Times New Roman" w:hAnsi="Times New Roman" w:cs="Times New Roman"/>
          <w:sz w:val="28"/>
          <w:szCs w:val="28"/>
        </w:rPr>
        <w:t>.1</w:t>
      </w:r>
      <w:r>
        <w:rPr>
          <w:rFonts w:ascii="Times New Roman" w:hAnsi="Times New Roman" w:cs="Times New Roman"/>
          <w:sz w:val="28"/>
          <w:szCs w:val="28"/>
        </w:rPr>
        <w:t>1</w:t>
      </w:r>
      <w:r w:rsidR="00813F7B" w:rsidRPr="00D56484">
        <w:rPr>
          <w:rFonts w:ascii="Times New Roman" w:hAnsi="Times New Roman" w:cs="Times New Roman"/>
          <w:sz w:val="28"/>
          <w:szCs w:val="28"/>
        </w:rPr>
        <w:t>.202</w:t>
      </w:r>
      <w:r w:rsidR="00E649AC">
        <w:rPr>
          <w:rFonts w:ascii="Times New Roman" w:hAnsi="Times New Roman" w:cs="Times New Roman"/>
          <w:sz w:val="28"/>
          <w:szCs w:val="28"/>
        </w:rPr>
        <w:t>4</w:t>
      </w:r>
    </w:p>
    <w:tbl>
      <w:tblPr>
        <w:tblStyle w:val="Kontuurtabel"/>
        <w:tblW w:w="13992" w:type="dxa"/>
        <w:tblLook w:val="04A0" w:firstRow="1" w:lastRow="0" w:firstColumn="1" w:lastColumn="0" w:noHBand="0" w:noVBand="1"/>
      </w:tblPr>
      <w:tblGrid>
        <w:gridCol w:w="10710"/>
        <w:gridCol w:w="3282"/>
      </w:tblGrid>
      <w:tr w:rsidR="00B83D55" w:rsidRPr="00D56484" w14:paraId="288AF331" w14:textId="77777777" w:rsidTr="3199B330">
        <w:trPr>
          <w:trHeight w:val="300"/>
        </w:trPr>
        <w:tc>
          <w:tcPr>
            <w:tcW w:w="10710" w:type="dxa"/>
            <w:shd w:val="clear" w:color="auto" w:fill="B4C6E7" w:themeFill="accent1" w:themeFillTint="66"/>
          </w:tcPr>
          <w:p w14:paraId="1A6D7315" w14:textId="337C351B" w:rsidR="00B83D55" w:rsidRPr="00D56484" w:rsidRDefault="00D56484" w:rsidP="00B766A5">
            <w:pPr>
              <w:pStyle w:val="Kehatekst"/>
            </w:pPr>
            <w:r w:rsidRPr="00D56484">
              <w:t>Laekunud arvamus</w:t>
            </w:r>
          </w:p>
        </w:tc>
        <w:tc>
          <w:tcPr>
            <w:tcW w:w="3282" w:type="dxa"/>
            <w:shd w:val="clear" w:color="auto" w:fill="B4C6E7" w:themeFill="accent1" w:themeFillTint="66"/>
          </w:tcPr>
          <w:p w14:paraId="73E4B89A" w14:textId="398D89F2" w:rsidR="00B83D55" w:rsidRPr="00797EDC" w:rsidRDefault="006E5953" w:rsidP="00B766A5">
            <w:pPr>
              <w:pStyle w:val="Kehatekst"/>
            </w:pPr>
            <w:r w:rsidRPr="00797EDC">
              <w:t>Kli</w:t>
            </w:r>
            <w:r w:rsidR="007D7E5E" w:rsidRPr="00797EDC">
              <w:t>i</w:t>
            </w:r>
            <w:r w:rsidRPr="00797EDC">
              <w:t>maministeeriumi</w:t>
            </w:r>
            <w:r w:rsidR="00B766A5" w:rsidRPr="00797EDC">
              <w:t xml:space="preserve"> seisukoht</w:t>
            </w:r>
          </w:p>
        </w:tc>
      </w:tr>
      <w:tr w:rsidR="00855548" w:rsidRPr="00DB6D9C" w14:paraId="38FF654B" w14:textId="77777777" w:rsidTr="3199B330">
        <w:trPr>
          <w:trHeight w:val="300"/>
        </w:trPr>
        <w:tc>
          <w:tcPr>
            <w:tcW w:w="10710" w:type="dxa"/>
            <w:shd w:val="clear" w:color="auto" w:fill="E7E6E6" w:themeFill="background2"/>
          </w:tcPr>
          <w:p w14:paraId="75A07364" w14:textId="2C0B28D1" w:rsidR="00855548" w:rsidRPr="00DB6D9C" w:rsidRDefault="009A5E81" w:rsidP="00DB6D9C">
            <w:pPr>
              <w:rPr>
                <w:rFonts w:ascii="Times New Roman" w:hAnsi="Times New Roman" w:cs="Times New Roman"/>
                <w:b/>
                <w:bCs/>
                <w:color w:val="000000"/>
                <w:sz w:val="24"/>
                <w:szCs w:val="24"/>
              </w:rPr>
            </w:pPr>
            <w:proofErr w:type="spellStart"/>
            <w:r w:rsidRPr="007175AE">
              <w:rPr>
                <w:rFonts w:ascii="Times New Roman" w:hAnsi="Times New Roman" w:cs="Times New Roman"/>
                <w:b/>
                <w:bCs/>
                <w:color w:val="000000"/>
                <w:sz w:val="24"/>
                <w:szCs w:val="24"/>
                <w:highlight w:val="cyan"/>
              </w:rPr>
              <w:t>Ignitis</w:t>
            </w:r>
            <w:proofErr w:type="spellEnd"/>
            <w:r w:rsidRPr="007175AE">
              <w:rPr>
                <w:rFonts w:ascii="Times New Roman" w:hAnsi="Times New Roman" w:cs="Times New Roman"/>
                <w:b/>
                <w:bCs/>
                <w:color w:val="000000"/>
                <w:sz w:val="24"/>
                <w:szCs w:val="24"/>
                <w:highlight w:val="cyan"/>
              </w:rPr>
              <w:t xml:space="preserve"> Eesti OÜ</w:t>
            </w:r>
          </w:p>
        </w:tc>
        <w:tc>
          <w:tcPr>
            <w:tcW w:w="3282" w:type="dxa"/>
            <w:shd w:val="clear" w:color="auto" w:fill="E7E6E6" w:themeFill="background2"/>
          </w:tcPr>
          <w:p w14:paraId="2777C64E" w14:textId="77777777" w:rsidR="00855548" w:rsidRPr="00797EDC" w:rsidRDefault="00855548" w:rsidP="00DB6D9C">
            <w:pPr>
              <w:rPr>
                <w:rFonts w:ascii="Times New Roman" w:hAnsi="Times New Roman" w:cs="Times New Roman"/>
                <w:sz w:val="24"/>
                <w:szCs w:val="24"/>
              </w:rPr>
            </w:pPr>
          </w:p>
        </w:tc>
      </w:tr>
      <w:tr w:rsidR="00DD73D0" w:rsidRPr="005C0F32" w14:paraId="43E20F61" w14:textId="77777777" w:rsidTr="3199B330">
        <w:trPr>
          <w:trHeight w:val="300"/>
        </w:trPr>
        <w:tc>
          <w:tcPr>
            <w:tcW w:w="10710" w:type="dxa"/>
          </w:tcPr>
          <w:p w14:paraId="15C1E8B9" w14:textId="37E96EBC" w:rsidR="009A5E81" w:rsidRPr="005C0F32" w:rsidRDefault="009A5E81" w:rsidP="009A5E81">
            <w:pPr>
              <w:jc w:val="both"/>
              <w:rPr>
                <w:rFonts w:ascii="Times New Roman" w:hAnsi="Times New Roman" w:cs="Times New Roman"/>
                <w:sz w:val="24"/>
                <w:szCs w:val="24"/>
                <w:lang w:val="en-US"/>
              </w:rPr>
            </w:pPr>
            <w:r w:rsidRPr="005C0F32">
              <w:rPr>
                <w:rFonts w:ascii="Times New Roman" w:hAnsi="Times New Roman" w:cs="Times New Roman"/>
                <w:sz w:val="24"/>
                <w:szCs w:val="24"/>
                <w:lang w:val="en-US"/>
              </w:rPr>
              <w:t xml:space="preserve">Firstly, </w:t>
            </w:r>
            <w:proofErr w:type="spellStart"/>
            <w:r w:rsidRPr="005C0F32">
              <w:rPr>
                <w:rFonts w:ascii="Times New Roman" w:hAnsi="Times New Roman" w:cs="Times New Roman"/>
                <w:sz w:val="24"/>
                <w:szCs w:val="24"/>
                <w:lang w:val="en-US"/>
              </w:rPr>
              <w:t>Ignitis</w:t>
            </w:r>
            <w:proofErr w:type="spellEnd"/>
            <w:r w:rsidRPr="005C0F32">
              <w:rPr>
                <w:rFonts w:ascii="Times New Roman" w:hAnsi="Times New Roman" w:cs="Times New Roman"/>
                <w:sz w:val="24"/>
                <w:szCs w:val="24"/>
                <w:lang w:val="en-US"/>
              </w:rPr>
              <w:t xml:space="preserve"> Eesti OÜ (</w:t>
            </w:r>
            <w:proofErr w:type="spellStart"/>
            <w:r w:rsidRPr="005C0F32">
              <w:rPr>
                <w:rFonts w:ascii="Times New Roman" w:hAnsi="Times New Roman" w:cs="Times New Roman"/>
                <w:sz w:val="24"/>
                <w:szCs w:val="24"/>
                <w:lang w:val="en-US"/>
              </w:rPr>
              <w:t>Ignitis</w:t>
            </w:r>
            <w:proofErr w:type="spellEnd"/>
            <w:r w:rsidRPr="005C0F32">
              <w:rPr>
                <w:rFonts w:ascii="Times New Roman" w:hAnsi="Times New Roman" w:cs="Times New Roman"/>
                <w:sz w:val="24"/>
                <w:szCs w:val="24"/>
                <w:lang w:val="en-US"/>
              </w:rPr>
              <w:t xml:space="preserve">) would like to express its gratitude that several proposals presented by market participants in July this year have been </w:t>
            </w:r>
            <w:proofErr w:type="gramStart"/>
            <w:r w:rsidRPr="005C0F32">
              <w:rPr>
                <w:rFonts w:ascii="Times New Roman" w:hAnsi="Times New Roman" w:cs="Times New Roman"/>
                <w:sz w:val="24"/>
                <w:szCs w:val="24"/>
                <w:lang w:val="en-US"/>
              </w:rPr>
              <w:t>taken into account</w:t>
            </w:r>
            <w:proofErr w:type="gramEnd"/>
            <w:r w:rsidRPr="005C0F32">
              <w:rPr>
                <w:rFonts w:ascii="Times New Roman" w:hAnsi="Times New Roman" w:cs="Times New Roman"/>
                <w:sz w:val="24"/>
                <w:szCs w:val="24"/>
                <w:lang w:val="en-US"/>
              </w:rPr>
              <w:t xml:space="preserve">. We would like to note that it is important to ensure flexible conditions for participation in </w:t>
            </w:r>
            <w:proofErr w:type="spellStart"/>
            <w:r w:rsidRPr="005C0F32">
              <w:rPr>
                <w:rFonts w:ascii="Times New Roman" w:hAnsi="Times New Roman" w:cs="Times New Roman"/>
                <w:sz w:val="24"/>
                <w:szCs w:val="24"/>
                <w:lang w:val="en-US"/>
              </w:rPr>
              <w:t>CfD</w:t>
            </w:r>
            <w:proofErr w:type="spellEnd"/>
            <w:r w:rsidRPr="005C0F32">
              <w:rPr>
                <w:rFonts w:ascii="Times New Roman" w:hAnsi="Times New Roman" w:cs="Times New Roman"/>
                <w:sz w:val="24"/>
                <w:szCs w:val="24"/>
                <w:lang w:val="en-US"/>
              </w:rPr>
              <w:t xml:space="preserve"> onshore and offshore auctions to ensure the best competition, entry of new investors to the market and most importantly to ensure fair electricity prices for the consumers.</w:t>
            </w:r>
          </w:p>
          <w:p w14:paraId="4B09B38F" w14:textId="77777777" w:rsidR="009A5E81" w:rsidRPr="005C0F32" w:rsidRDefault="009A5E81" w:rsidP="009A5E81">
            <w:pPr>
              <w:jc w:val="both"/>
              <w:rPr>
                <w:rFonts w:ascii="Times New Roman" w:hAnsi="Times New Roman" w:cs="Times New Roman"/>
                <w:sz w:val="24"/>
                <w:szCs w:val="24"/>
                <w:lang w:val="en-US"/>
              </w:rPr>
            </w:pPr>
          </w:p>
          <w:p w14:paraId="4E3A512F" w14:textId="77777777" w:rsidR="009A5E81" w:rsidRPr="005C0F32" w:rsidRDefault="009A5E81" w:rsidP="009A5E81">
            <w:pPr>
              <w:jc w:val="both"/>
              <w:rPr>
                <w:rFonts w:ascii="Times New Roman" w:hAnsi="Times New Roman" w:cs="Times New Roman"/>
                <w:sz w:val="24"/>
                <w:szCs w:val="24"/>
                <w:lang w:val="en-US"/>
              </w:rPr>
            </w:pPr>
            <w:r w:rsidRPr="005C0F32">
              <w:rPr>
                <w:rFonts w:ascii="Times New Roman" w:hAnsi="Times New Roman" w:cs="Times New Roman"/>
                <w:sz w:val="24"/>
                <w:szCs w:val="24"/>
                <w:lang w:val="en-US"/>
              </w:rPr>
              <w:t xml:space="preserve">We hereby submit our opinions and proposals on the amendment bill of Electricity Market Act and the Energy Economy Organization Act regarding the auction scheme for the onshore and offshore wind </w:t>
            </w:r>
            <w:proofErr w:type="spellStart"/>
            <w:r w:rsidRPr="005C0F32">
              <w:rPr>
                <w:rFonts w:ascii="Times New Roman" w:hAnsi="Times New Roman" w:cs="Times New Roman"/>
                <w:sz w:val="24"/>
                <w:szCs w:val="24"/>
                <w:lang w:val="en-US"/>
              </w:rPr>
              <w:t>CfD</w:t>
            </w:r>
            <w:proofErr w:type="spellEnd"/>
            <w:r w:rsidRPr="005C0F32">
              <w:rPr>
                <w:rFonts w:ascii="Times New Roman" w:hAnsi="Times New Roman" w:cs="Times New Roman"/>
                <w:sz w:val="24"/>
                <w:szCs w:val="24"/>
                <w:lang w:val="en-US"/>
              </w:rPr>
              <w:t xml:space="preserve"> auctions in Estonia.</w:t>
            </w:r>
            <w:r w:rsidRPr="005C0F32">
              <w:rPr>
                <w:rFonts w:ascii="Times New Roman" w:hAnsi="Times New Roman" w:cs="Times New Roman"/>
                <w:sz w:val="24"/>
                <w:szCs w:val="24"/>
              </w:rPr>
              <w:t xml:space="preserve"> </w:t>
            </w:r>
            <w:r w:rsidRPr="005C0F32">
              <w:rPr>
                <w:rFonts w:ascii="Times New Roman" w:hAnsi="Times New Roman" w:cs="Times New Roman"/>
                <w:sz w:val="24"/>
                <w:szCs w:val="24"/>
                <w:lang w:val="en-US"/>
              </w:rPr>
              <w:t xml:space="preserve">We would like to point out that our comments regarding the offshore auction conditions also reflect the position of our cooperation partner CIP positions. </w:t>
            </w:r>
          </w:p>
          <w:p w14:paraId="4C5FBD42" w14:textId="2E4968EB" w:rsidR="00DD73D0" w:rsidRPr="005C0F32" w:rsidRDefault="00DD73D0" w:rsidP="00DD73D0">
            <w:pPr>
              <w:pStyle w:val="Default"/>
              <w:rPr>
                <w:rFonts w:ascii="Times New Roman" w:hAnsi="Times New Roman" w:cs="Times New Roman"/>
              </w:rPr>
            </w:pPr>
          </w:p>
        </w:tc>
        <w:tc>
          <w:tcPr>
            <w:tcW w:w="3282" w:type="dxa"/>
          </w:tcPr>
          <w:p w14:paraId="1F1A0297" w14:textId="2C2B640C" w:rsidR="00DD73D0" w:rsidRPr="00797EDC" w:rsidRDefault="00DD73D0" w:rsidP="009A5E81">
            <w:pPr>
              <w:pStyle w:val="Loendilik"/>
              <w:ind w:left="-23"/>
              <w:jc w:val="both"/>
              <w:rPr>
                <w:rFonts w:ascii="Times New Roman" w:hAnsi="Times New Roman" w:cs="Times New Roman"/>
                <w:sz w:val="24"/>
                <w:szCs w:val="24"/>
              </w:rPr>
            </w:pPr>
          </w:p>
        </w:tc>
      </w:tr>
      <w:tr w:rsidR="009A5E81" w:rsidRPr="005C0F32" w14:paraId="5C8C9B4B" w14:textId="77777777" w:rsidTr="3199B330">
        <w:trPr>
          <w:trHeight w:val="300"/>
        </w:trPr>
        <w:tc>
          <w:tcPr>
            <w:tcW w:w="10710" w:type="dxa"/>
          </w:tcPr>
          <w:p w14:paraId="015B0A1D" w14:textId="77777777" w:rsidR="009A5E81" w:rsidRPr="005C0F32" w:rsidRDefault="009A5E81" w:rsidP="00F11797">
            <w:pPr>
              <w:pStyle w:val="Loendilik"/>
              <w:numPr>
                <w:ilvl w:val="1"/>
                <w:numId w:val="2"/>
              </w:numPr>
              <w:tabs>
                <w:tab w:val="left" w:pos="851"/>
                <w:tab w:val="left" w:pos="993"/>
              </w:tabs>
              <w:ind w:left="284" w:firstLine="0"/>
              <w:rPr>
                <w:rFonts w:ascii="Times New Roman" w:hAnsi="Times New Roman" w:cs="Times New Roman"/>
                <w:b/>
                <w:bCs/>
                <w:sz w:val="24"/>
                <w:szCs w:val="24"/>
                <w:lang w:val="en-US"/>
              </w:rPr>
            </w:pPr>
            <w:r w:rsidRPr="005C0F32">
              <w:rPr>
                <w:rFonts w:ascii="Times New Roman" w:hAnsi="Times New Roman" w:cs="Times New Roman"/>
                <w:b/>
                <w:bCs/>
                <w:sz w:val="24"/>
                <w:szCs w:val="24"/>
                <w:lang w:val="en-US"/>
              </w:rPr>
              <w:t xml:space="preserve">Auction design with the possibility for three auctions </w:t>
            </w:r>
          </w:p>
          <w:p w14:paraId="1C9FAEC3" w14:textId="77777777" w:rsidR="009A5E81" w:rsidRPr="005C0F32" w:rsidRDefault="009A5E81" w:rsidP="009A5E81">
            <w:pPr>
              <w:pStyle w:val="Loendilik"/>
              <w:tabs>
                <w:tab w:val="left" w:pos="851"/>
                <w:tab w:val="left" w:pos="993"/>
              </w:tabs>
              <w:ind w:left="284"/>
              <w:rPr>
                <w:rFonts w:ascii="Times New Roman" w:hAnsi="Times New Roman" w:cs="Times New Roman"/>
                <w:b/>
                <w:bCs/>
                <w:sz w:val="24"/>
                <w:szCs w:val="24"/>
                <w:lang w:val="en-US"/>
              </w:rPr>
            </w:pPr>
          </w:p>
          <w:p w14:paraId="35003978" w14:textId="77777777" w:rsidR="009A5E81" w:rsidRPr="005C0F32" w:rsidRDefault="009A5E81" w:rsidP="009A5E81">
            <w:pPr>
              <w:ind w:left="360"/>
              <w:jc w:val="both"/>
              <w:rPr>
                <w:rFonts w:ascii="Times New Roman" w:hAnsi="Times New Roman" w:cs="Times New Roman"/>
                <w:sz w:val="24"/>
                <w:szCs w:val="24"/>
                <w:lang w:val="en-US"/>
              </w:rPr>
            </w:pPr>
            <w:proofErr w:type="spellStart"/>
            <w:r w:rsidRPr="005C0F32">
              <w:rPr>
                <w:rFonts w:ascii="Times New Roman" w:hAnsi="Times New Roman" w:cs="Times New Roman"/>
                <w:sz w:val="24"/>
                <w:szCs w:val="24"/>
                <w:lang w:val="en-US"/>
              </w:rPr>
              <w:t>Ignitis</w:t>
            </w:r>
            <w:proofErr w:type="spellEnd"/>
            <w:r w:rsidRPr="005C0F32">
              <w:rPr>
                <w:rFonts w:ascii="Times New Roman" w:hAnsi="Times New Roman" w:cs="Times New Roman"/>
                <w:sz w:val="24"/>
                <w:szCs w:val="24"/>
                <w:lang w:val="en-US"/>
              </w:rPr>
              <w:t xml:space="preserve"> welcomes the auction design with possible three auctions spaced over three years. In this regard, we propose that the volumes of tenders, in each particular year, would also be established at the level of law (mid-2025 1TWh, mid-2026 2TWh and mid-2027 1TWh</w:t>
            </w:r>
            <w:r w:rsidR="355CDC88" w:rsidRPr="17A91744">
              <w:rPr>
                <w:rFonts w:ascii="Times New Roman" w:hAnsi="Times New Roman" w:cs="Times New Roman"/>
                <w:sz w:val="24"/>
                <w:szCs w:val="24"/>
                <w:lang w:val="en-US"/>
              </w:rPr>
              <w:t>).</w:t>
            </w:r>
            <w:r w:rsidRPr="005C0F32">
              <w:rPr>
                <w:rFonts w:ascii="Times New Roman" w:hAnsi="Times New Roman" w:cs="Times New Roman"/>
                <w:sz w:val="24"/>
                <w:szCs w:val="24"/>
                <w:lang w:val="en-US"/>
              </w:rPr>
              <w:t xml:space="preserve"> This will ensure fair competition and better planning of new investments and would also ensure more reasonable </w:t>
            </w:r>
            <w:proofErr w:type="spellStart"/>
            <w:r w:rsidRPr="005C0F32">
              <w:rPr>
                <w:rFonts w:ascii="Times New Roman" w:hAnsi="Times New Roman" w:cs="Times New Roman"/>
                <w:sz w:val="24"/>
                <w:szCs w:val="24"/>
                <w:lang w:val="en-US"/>
              </w:rPr>
              <w:t>CfD</w:t>
            </w:r>
            <w:proofErr w:type="spellEnd"/>
            <w:r w:rsidRPr="005C0F32">
              <w:rPr>
                <w:rFonts w:ascii="Times New Roman" w:hAnsi="Times New Roman" w:cs="Times New Roman"/>
                <w:sz w:val="24"/>
                <w:szCs w:val="24"/>
                <w:lang w:val="en-US"/>
              </w:rPr>
              <w:t xml:space="preserve"> cost to the consumers.  It will also ensure more open competition for a wide range of developers and would benefit larger number of municipalities. At the same time, it gives the developers certainty in terms of auctions and certainty in making investments.</w:t>
            </w:r>
          </w:p>
          <w:p w14:paraId="64A992A3" w14:textId="77777777" w:rsidR="009A5E81" w:rsidRPr="005C0F32" w:rsidRDefault="009A5E81" w:rsidP="009A5E81">
            <w:pPr>
              <w:ind w:left="360"/>
              <w:jc w:val="both"/>
              <w:rPr>
                <w:rFonts w:ascii="Times New Roman" w:hAnsi="Times New Roman" w:cs="Times New Roman"/>
                <w:sz w:val="24"/>
                <w:szCs w:val="24"/>
                <w:lang w:val="en-US"/>
              </w:rPr>
            </w:pPr>
          </w:p>
          <w:p w14:paraId="586B57D5" w14:textId="77777777" w:rsidR="009A5E81" w:rsidRPr="005C0F32" w:rsidRDefault="009A5E81" w:rsidP="009A5E81">
            <w:pPr>
              <w:ind w:left="360"/>
              <w:jc w:val="both"/>
              <w:rPr>
                <w:rFonts w:ascii="Times New Roman" w:hAnsi="Times New Roman" w:cs="Times New Roman"/>
                <w:sz w:val="24"/>
                <w:szCs w:val="24"/>
                <w:lang w:val="en-US"/>
              </w:rPr>
            </w:pPr>
            <w:r w:rsidRPr="005C0F32">
              <w:rPr>
                <w:rFonts w:ascii="Times New Roman" w:hAnsi="Times New Roman" w:cs="Times New Roman"/>
                <w:sz w:val="24"/>
                <w:szCs w:val="24"/>
                <w:lang w:val="en-US"/>
              </w:rPr>
              <w:t xml:space="preserve">We would also like to note again that many developers and local governments have invested significant funds and time into the development of onshore wind energy projects in Estonia. This is evident from the fact that the Environment Agency has identified 5,790 MW of onshore wind energy projects under development in Estonia. Of these projects, developers have described 4,286 MW as having a high </w:t>
            </w:r>
            <w:r w:rsidRPr="005C0F32">
              <w:rPr>
                <w:rFonts w:ascii="Times New Roman" w:hAnsi="Times New Roman" w:cs="Times New Roman"/>
                <w:sz w:val="24"/>
                <w:szCs w:val="24"/>
                <w:lang w:val="en-US"/>
              </w:rPr>
              <w:lastRenderedPageBreak/>
              <w:t>likelihood of completion.</w:t>
            </w:r>
            <w:r w:rsidRPr="005C0F32">
              <w:rPr>
                <w:rStyle w:val="Allmrkuseviide"/>
                <w:rFonts w:ascii="Times New Roman" w:hAnsi="Times New Roman" w:cs="Times New Roman"/>
                <w:sz w:val="24"/>
                <w:szCs w:val="24"/>
                <w:lang w:val="en-US"/>
              </w:rPr>
              <w:footnoteReference w:id="2"/>
            </w:r>
            <w:r w:rsidRPr="005C0F32">
              <w:rPr>
                <w:rFonts w:ascii="Times New Roman" w:hAnsi="Times New Roman" w:cs="Times New Roman"/>
                <w:sz w:val="24"/>
                <w:szCs w:val="24"/>
                <w:lang w:val="en-US"/>
              </w:rPr>
              <w:t xml:space="preserve"> A significant part of these projects will be ready to participate in the </w:t>
            </w:r>
            <w:proofErr w:type="spellStart"/>
            <w:r w:rsidRPr="005C0F32">
              <w:rPr>
                <w:rFonts w:ascii="Times New Roman" w:hAnsi="Times New Roman" w:cs="Times New Roman"/>
                <w:sz w:val="24"/>
                <w:szCs w:val="24"/>
                <w:lang w:val="en-US"/>
              </w:rPr>
              <w:t>CfD</w:t>
            </w:r>
            <w:proofErr w:type="spellEnd"/>
            <w:r w:rsidRPr="005C0F32">
              <w:rPr>
                <w:rFonts w:ascii="Times New Roman" w:hAnsi="Times New Roman" w:cs="Times New Roman"/>
                <w:sz w:val="24"/>
                <w:szCs w:val="24"/>
                <w:lang w:val="en-US"/>
              </w:rPr>
              <w:t xml:space="preserve"> auctions by mid-2027 the latest.</w:t>
            </w:r>
          </w:p>
          <w:p w14:paraId="29157C05" w14:textId="77777777" w:rsidR="009A5E81" w:rsidRPr="005C0F32" w:rsidRDefault="009A5E81" w:rsidP="009A5E81">
            <w:pPr>
              <w:ind w:left="360"/>
              <w:jc w:val="both"/>
              <w:rPr>
                <w:rFonts w:ascii="Times New Roman" w:hAnsi="Times New Roman" w:cs="Times New Roman"/>
                <w:sz w:val="24"/>
                <w:szCs w:val="24"/>
                <w:lang w:val="en-US"/>
              </w:rPr>
            </w:pPr>
          </w:p>
          <w:p w14:paraId="38438609" w14:textId="77777777" w:rsidR="009A5E81" w:rsidRPr="005C0F32" w:rsidRDefault="009A5E81" w:rsidP="009A5E81">
            <w:pPr>
              <w:ind w:left="360"/>
              <w:jc w:val="both"/>
              <w:rPr>
                <w:rFonts w:ascii="Times New Roman" w:hAnsi="Times New Roman" w:cs="Times New Roman"/>
                <w:sz w:val="24"/>
                <w:szCs w:val="24"/>
                <w:lang w:val="en-US"/>
              </w:rPr>
            </w:pPr>
            <w:r w:rsidRPr="005C0F32">
              <w:rPr>
                <w:rFonts w:ascii="Times New Roman" w:hAnsi="Times New Roman" w:cs="Times New Roman"/>
                <w:sz w:val="24"/>
                <w:szCs w:val="24"/>
                <w:lang w:val="en-US"/>
              </w:rPr>
              <w:t xml:space="preserve">These numbers imply a healthy competition in the upcoming </w:t>
            </w:r>
            <w:proofErr w:type="spellStart"/>
            <w:r w:rsidRPr="005C0F32">
              <w:rPr>
                <w:rFonts w:ascii="Times New Roman" w:hAnsi="Times New Roman" w:cs="Times New Roman"/>
                <w:sz w:val="24"/>
                <w:szCs w:val="24"/>
                <w:lang w:val="en-US"/>
              </w:rPr>
              <w:t>CfD</w:t>
            </w:r>
            <w:proofErr w:type="spellEnd"/>
            <w:r w:rsidRPr="005C0F32">
              <w:rPr>
                <w:rFonts w:ascii="Times New Roman" w:hAnsi="Times New Roman" w:cs="Times New Roman"/>
                <w:sz w:val="24"/>
                <w:szCs w:val="24"/>
                <w:lang w:val="en-US"/>
              </w:rPr>
              <w:t xml:space="preserve"> auctions with the best wind areas and best development projects having the best chance to win.</w:t>
            </w:r>
            <w:r w:rsidRPr="005C0F32">
              <w:rPr>
                <w:rFonts w:ascii="Times New Roman" w:hAnsi="Times New Roman" w:cs="Times New Roman"/>
                <w:sz w:val="24"/>
                <w:szCs w:val="24"/>
              </w:rPr>
              <w:t xml:space="preserve"> </w:t>
            </w:r>
            <w:r w:rsidRPr="005C0F32">
              <w:rPr>
                <w:rFonts w:ascii="Times New Roman" w:hAnsi="Times New Roman" w:cs="Times New Roman"/>
                <w:sz w:val="24"/>
                <w:szCs w:val="24"/>
                <w:lang w:val="en-US"/>
              </w:rPr>
              <w:t>However, this is true only provided that certain projects are not given an unfair advantage through the auction rules.</w:t>
            </w:r>
          </w:p>
          <w:p w14:paraId="1179E648" w14:textId="77777777" w:rsidR="009A5E81" w:rsidRPr="005C0F32" w:rsidRDefault="009A5E81" w:rsidP="009A5E81">
            <w:pPr>
              <w:ind w:left="360"/>
              <w:jc w:val="both"/>
              <w:rPr>
                <w:rFonts w:ascii="Times New Roman" w:hAnsi="Times New Roman" w:cs="Times New Roman"/>
                <w:sz w:val="24"/>
                <w:szCs w:val="24"/>
                <w:lang w:val="en-US"/>
              </w:rPr>
            </w:pPr>
          </w:p>
          <w:p w14:paraId="0C8417EC" w14:textId="77777777" w:rsidR="009A5E81" w:rsidRPr="005C0F32" w:rsidRDefault="009A5E81" w:rsidP="009A5E81">
            <w:pPr>
              <w:ind w:left="360"/>
              <w:jc w:val="both"/>
              <w:rPr>
                <w:rFonts w:ascii="Times New Roman" w:hAnsi="Times New Roman" w:cs="Times New Roman"/>
                <w:sz w:val="24"/>
                <w:szCs w:val="24"/>
                <w:lang w:val="en-US"/>
              </w:rPr>
            </w:pPr>
            <w:r w:rsidRPr="005C0F32">
              <w:rPr>
                <w:rFonts w:ascii="Times New Roman" w:hAnsi="Times New Roman" w:cs="Times New Roman"/>
                <w:sz w:val="24"/>
                <w:szCs w:val="24"/>
                <w:lang w:val="en-US"/>
              </w:rPr>
              <w:t>We find that there are no grounds to prefer a single auction or a two-auction solution (see section 3 below). On the other hand, a reduced number of auctions would distort the market and give an unfair advantage to a select number of projects. Whereas without an auction, projects would compete on a free market, an early auction would create a distortion which would give some projects a preference based on only the requirement that they have an earlier planning solution. As it is not possible to achieve such a planning solution within the proposed timeframe between the announcement of the auction rules and the proposed auction date of mid-2025, this advantage would be unfair.</w:t>
            </w:r>
          </w:p>
          <w:p w14:paraId="42968250" w14:textId="77777777" w:rsidR="009A5E81" w:rsidRPr="005C0F32" w:rsidRDefault="009A5E81" w:rsidP="009A5E81">
            <w:pPr>
              <w:ind w:left="360"/>
              <w:jc w:val="both"/>
              <w:rPr>
                <w:rFonts w:ascii="Times New Roman" w:hAnsi="Times New Roman" w:cs="Times New Roman"/>
                <w:sz w:val="24"/>
                <w:szCs w:val="24"/>
                <w:lang w:val="en-US"/>
              </w:rPr>
            </w:pPr>
            <w:r w:rsidRPr="005C0F32">
              <w:rPr>
                <w:rFonts w:ascii="Times New Roman" w:hAnsi="Times New Roman" w:cs="Times New Roman"/>
                <w:sz w:val="24"/>
                <w:szCs w:val="24"/>
                <w:lang w:val="en-US"/>
              </w:rPr>
              <w:t xml:space="preserve">Moreover, such a timeframe focuses only on the date of the planning solution but does not consider other significant matters such as which projects </w:t>
            </w:r>
            <w:proofErr w:type="gramStart"/>
            <w:r w:rsidRPr="005C0F32">
              <w:rPr>
                <w:rFonts w:ascii="Times New Roman" w:hAnsi="Times New Roman" w:cs="Times New Roman"/>
                <w:sz w:val="24"/>
                <w:szCs w:val="24"/>
                <w:lang w:val="en-US"/>
              </w:rPr>
              <w:t>are located in</w:t>
            </w:r>
            <w:proofErr w:type="gramEnd"/>
            <w:r w:rsidRPr="005C0F32">
              <w:rPr>
                <w:rFonts w:ascii="Times New Roman" w:hAnsi="Times New Roman" w:cs="Times New Roman"/>
                <w:sz w:val="24"/>
                <w:szCs w:val="24"/>
                <w:lang w:val="en-US"/>
              </w:rPr>
              <w:t xml:space="preserve"> better wind areas and/or have been developed in a manner which supports maximum efficiency (including costs), production and community involvement/benefits. </w:t>
            </w:r>
          </w:p>
          <w:p w14:paraId="23121F24" w14:textId="77777777" w:rsidR="009A5E81" w:rsidRPr="005C0F32" w:rsidRDefault="009A5E81" w:rsidP="009A5E81">
            <w:pPr>
              <w:ind w:left="360"/>
              <w:jc w:val="both"/>
              <w:rPr>
                <w:rFonts w:ascii="Times New Roman" w:hAnsi="Times New Roman" w:cs="Times New Roman"/>
                <w:sz w:val="24"/>
                <w:szCs w:val="24"/>
                <w:lang w:val="en-US"/>
              </w:rPr>
            </w:pPr>
          </w:p>
          <w:p w14:paraId="09416706" w14:textId="77777777" w:rsidR="009A5E81" w:rsidRPr="005C0F32" w:rsidRDefault="009A5E81" w:rsidP="009A5E81">
            <w:pPr>
              <w:ind w:left="360"/>
              <w:jc w:val="both"/>
              <w:rPr>
                <w:rFonts w:ascii="Times New Roman" w:hAnsi="Times New Roman" w:cs="Times New Roman"/>
                <w:sz w:val="24"/>
                <w:szCs w:val="24"/>
                <w:lang w:val="en-US"/>
              </w:rPr>
            </w:pPr>
            <w:r w:rsidRPr="005C0F32">
              <w:rPr>
                <w:rFonts w:ascii="Times New Roman" w:hAnsi="Times New Roman" w:cs="Times New Roman"/>
                <w:sz w:val="24"/>
                <w:szCs w:val="24"/>
                <w:lang w:val="en-US"/>
              </w:rPr>
              <w:t>We would also like to note again, that in case auctions are held only in mid-2025 or only in mid-2025 and mid-2026, a significant portion of the ongoing projects might be cancelled. This in turn leads to lower competition on the Estonian electricity market over the long term. On the other hand, it is also likely to make local governments reluctant to accept any further green transition related planning proceedings as they may view the time and effort spent on such cancelled projects as wasted.</w:t>
            </w:r>
          </w:p>
          <w:p w14:paraId="2D19F479" w14:textId="77777777" w:rsidR="009A5E81" w:rsidRPr="005C0F32" w:rsidRDefault="009A5E81" w:rsidP="009A5E81">
            <w:pPr>
              <w:ind w:left="360"/>
              <w:jc w:val="both"/>
              <w:rPr>
                <w:rFonts w:ascii="Times New Roman" w:hAnsi="Times New Roman" w:cs="Times New Roman"/>
                <w:sz w:val="24"/>
                <w:szCs w:val="24"/>
                <w:lang w:val="en-US"/>
              </w:rPr>
            </w:pPr>
          </w:p>
          <w:p w14:paraId="7A6EEDFC" w14:textId="77777777" w:rsidR="009A5E81" w:rsidRPr="005C0F32" w:rsidRDefault="009A5E81" w:rsidP="00C06A28">
            <w:pPr>
              <w:ind w:left="284"/>
              <w:jc w:val="both"/>
              <w:rPr>
                <w:rStyle w:val="Kommentaariviide"/>
                <w:rFonts w:ascii="Times New Roman" w:hAnsi="Times New Roman" w:cs="Times New Roman"/>
                <w:sz w:val="24"/>
                <w:szCs w:val="24"/>
              </w:rPr>
            </w:pPr>
          </w:p>
        </w:tc>
        <w:tc>
          <w:tcPr>
            <w:tcW w:w="3282" w:type="dxa"/>
          </w:tcPr>
          <w:p w14:paraId="6DB7F4A1" w14:textId="77777777" w:rsidR="000445D6" w:rsidRDefault="007223BD" w:rsidP="000445D6">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Selgitame</w:t>
            </w:r>
          </w:p>
          <w:p w14:paraId="5357CA2A" w14:textId="521105FD" w:rsidR="00CC4D99" w:rsidRPr="000445D6" w:rsidRDefault="00CC4D99" w:rsidP="000445D6">
            <w:pPr>
              <w:pStyle w:val="Loendilik"/>
              <w:ind w:left="-23"/>
              <w:jc w:val="both"/>
              <w:rPr>
                <w:rFonts w:ascii="Times New Roman" w:eastAsia="Calibri" w:hAnsi="Times New Roman" w:cs="Times New Roman"/>
                <w:b/>
                <w:bCs/>
                <w:sz w:val="24"/>
                <w:szCs w:val="24"/>
              </w:rPr>
            </w:pPr>
            <w:r w:rsidRPr="00797EDC">
              <w:rPr>
                <w:rStyle w:val="cf01"/>
                <w:rFonts w:ascii="Times New Roman" w:hAnsi="Times New Roman" w:cs="Times New Roman"/>
                <w:sz w:val="24"/>
                <w:szCs w:val="24"/>
              </w:rPr>
              <w:t>Otsus vähempakkumise mahu kohta langetatakse vähempakkumise korralduse vastuvõtmise ajal vastavalt ELTS § 59</w:t>
            </w:r>
            <w:r w:rsidR="006C5632">
              <w:rPr>
                <w:rStyle w:val="cf01"/>
                <w:rFonts w:ascii="Times New Roman" w:hAnsi="Times New Roman" w:cs="Times New Roman"/>
                <w:sz w:val="24"/>
                <w:szCs w:val="24"/>
                <w:vertAlign w:val="superscript"/>
              </w:rPr>
              <w:t>4</w:t>
            </w:r>
            <w:r w:rsidRPr="00797EDC">
              <w:rPr>
                <w:rStyle w:val="cf01"/>
                <w:rFonts w:ascii="Times New Roman" w:hAnsi="Times New Roman" w:cs="Times New Roman"/>
                <w:sz w:val="24"/>
                <w:szCs w:val="24"/>
              </w:rPr>
              <w:t xml:space="preserve"> lg 5</w:t>
            </w:r>
            <w:r w:rsidR="006C5632">
              <w:rPr>
                <w:rStyle w:val="cf01"/>
                <w:rFonts w:ascii="Times New Roman" w:hAnsi="Times New Roman" w:cs="Times New Roman"/>
                <w:sz w:val="24"/>
                <w:szCs w:val="24"/>
                <w:vertAlign w:val="superscript"/>
              </w:rPr>
              <w:t>1</w:t>
            </w:r>
            <w:r w:rsidRPr="00797EDC">
              <w:rPr>
                <w:rStyle w:val="cf01"/>
                <w:rFonts w:ascii="Times New Roman" w:hAnsi="Times New Roman" w:cs="Times New Roman"/>
                <w:sz w:val="24"/>
                <w:szCs w:val="24"/>
              </w:rPr>
              <w:t xml:space="preserve"> punktile 2.</w:t>
            </w:r>
          </w:p>
          <w:p w14:paraId="0CACCEF7" w14:textId="69F385F8" w:rsidR="007C23A0" w:rsidRPr="00797EDC" w:rsidRDefault="007C23A0" w:rsidP="1FD60553">
            <w:pPr>
              <w:pStyle w:val="Loendilik"/>
              <w:ind w:left="-23"/>
              <w:jc w:val="both"/>
              <w:rPr>
                <w:rFonts w:ascii="Times New Roman" w:eastAsia="Calibri" w:hAnsi="Times New Roman" w:cs="Times New Roman"/>
                <w:sz w:val="24"/>
                <w:szCs w:val="24"/>
              </w:rPr>
            </w:pPr>
          </w:p>
        </w:tc>
      </w:tr>
      <w:tr w:rsidR="00C06A28" w:rsidRPr="005C0F32" w14:paraId="138F84EE" w14:textId="77777777" w:rsidTr="3199B330">
        <w:trPr>
          <w:trHeight w:val="300"/>
        </w:trPr>
        <w:tc>
          <w:tcPr>
            <w:tcW w:w="10710" w:type="dxa"/>
          </w:tcPr>
          <w:p w14:paraId="06E1D27C" w14:textId="77777777" w:rsidR="00C06A28" w:rsidRPr="005C0F32" w:rsidRDefault="00C06A28" w:rsidP="00F11797">
            <w:pPr>
              <w:pStyle w:val="Loendilik"/>
              <w:numPr>
                <w:ilvl w:val="1"/>
                <w:numId w:val="7"/>
              </w:numPr>
              <w:jc w:val="both"/>
              <w:rPr>
                <w:rFonts w:ascii="Times New Roman" w:hAnsi="Times New Roman" w:cs="Times New Roman"/>
                <w:b/>
                <w:bCs/>
                <w:sz w:val="24"/>
                <w:szCs w:val="24"/>
                <w:lang w:val="en-US"/>
              </w:rPr>
            </w:pPr>
            <w:r w:rsidRPr="005C0F32">
              <w:rPr>
                <w:rFonts w:ascii="Times New Roman" w:hAnsi="Times New Roman" w:cs="Times New Roman"/>
                <w:b/>
                <w:bCs/>
                <w:sz w:val="24"/>
                <w:szCs w:val="24"/>
                <w:lang w:val="en-US"/>
              </w:rPr>
              <w:t>Auction rules regarding grid connection agreement</w:t>
            </w:r>
          </w:p>
          <w:p w14:paraId="20549107" w14:textId="77777777" w:rsidR="00C06A28" w:rsidRPr="005C0F32" w:rsidRDefault="00C06A28" w:rsidP="00C06A28">
            <w:pPr>
              <w:pStyle w:val="Loendilik"/>
              <w:ind w:left="284"/>
              <w:jc w:val="both"/>
              <w:rPr>
                <w:rFonts w:ascii="Times New Roman" w:hAnsi="Times New Roman" w:cs="Times New Roman"/>
                <w:b/>
                <w:bCs/>
                <w:sz w:val="24"/>
                <w:szCs w:val="24"/>
                <w:lang w:val="en-US"/>
              </w:rPr>
            </w:pPr>
          </w:p>
          <w:p w14:paraId="674C72F0" w14:textId="77777777" w:rsidR="00C06A28" w:rsidRPr="005C0F32" w:rsidRDefault="00C06A28" w:rsidP="00C06A28">
            <w:pPr>
              <w:ind w:left="284"/>
              <w:jc w:val="both"/>
              <w:rPr>
                <w:rFonts w:ascii="Times New Roman" w:hAnsi="Times New Roman" w:cs="Times New Roman"/>
                <w:sz w:val="24"/>
                <w:szCs w:val="24"/>
                <w:lang w:val="en-US"/>
              </w:rPr>
            </w:pPr>
            <w:r w:rsidRPr="005C0F32">
              <w:rPr>
                <w:rFonts w:ascii="Times New Roman" w:hAnsi="Times New Roman" w:cs="Times New Roman"/>
                <w:sz w:val="24"/>
                <w:szCs w:val="24"/>
                <w:lang w:val="en-US"/>
              </w:rPr>
              <w:t xml:space="preserve">The current auction rules require that the successful bidder should enter into the grid connection agreement within six months after announcing the winners, which in turn requires an approved spatial plan. Considering that establishing new substations for the power grid are an integral part of the power grid and taking into account possible delivery difficulties, the </w:t>
            </w:r>
            <w:proofErr w:type="gramStart"/>
            <w:r w:rsidRPr="005C0F32">
              <w:rPr>
                <w:rFonts w:ascii="Times New Roman" w:hAnsi="Times New Roman" w:cs="Times New Roman"/>
                <w:sz w:val="24"/>
                <w:szCs w:val="24"/>
                <w:lang w:val="en-US"/>
              </w:rPr>
              <w:t>six month</w:t>
            </w:r>
            <w:proofErr w:type="gramEnd"/>
            <w:r w:rsidRPr="005C0F32">
              <w:rPr>
                <w:rFonts w:ascii="Times New Roman" w:hAnsi="Times New Roman" w:cs="Times New Roman"/>
                <w:sz w:val="24"/>
                <w:szCs w:val="24"/>
                <w:lang w:val="en-US"/>
              </w:rPr>
              <w:t xml:space="preserve"> deadline could propose difficulty for developers. Therefore, we propose a 12-month deadline for the producer to apply for grid connection </w:t>
            </w:r>
            <w:r w:rsidRPr="005C0F32">
              <w:rPr>
                <w:rFonts w:ascii="Times New Roman" w:hAnsi="Times New Roman" w:cs="Times New Roman"/>
                <w:sz w:val="24"/>
                <w:szCs w:val="24"/>
                <w:lang w:val="en-US"/>
              </w:rPr>
              <w:lastRenderedPageBreak/>
              <w:t>agreement from the announcement of the winner to ensure reasonable time to conclude all preparatory work before entering the grid connection agreement.</w:t>
            </w:r>
          </w:p>
          <w:p w14:paraId="1D4D8BEB" w14:textId="77777777" w:rsidR="00C06A28" w:rsidRPr="005C0F32" w:rsidRDefault="00C06A28" w:rsidP="00C06A28">
            <w:pPr>
              <w:pStyle w:val="Loendilik"/>
              <w:tabs>
                <w:tab w:val="left" w:pos="851"/>
                <w:tab w:val="left" w:pos="993"/>
              </w:tabs>
              <w:ind w:left="284"/>
              <w:rPr>
                <w:rFonts w:ascii="Times New Roman" w:hAnsi="Times New Roman" w:cs="Times New Roman"/>
                <w:b/>
                <w:bCs/>
                <w:sz w:val="24"/>
                <w:szCs w:val="24"/>
                <w:lang w:val="en-US"/>
              </w:rPr>
            </w:pPr>
          </w:p>
        </w:tc>
        <w:tc>
          <w:tcPr>
            <w:tcW w:w="3282" w:type="dxa"/>
          </w:tcPr>
          <w:p w14:paraId="28A30F3A" w14:textId="77777777" w:rsidR="00CC4D99" w:rsidRPr="00797EDC" w:rsidRDefault="00CC4D99" w:rsidP="00CC4D99">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Mittearvestatud</w:t>
            </w:r>
          </w:p>
          <w:p w14:paraId="35846596" w14:textId="5817EB19" w:rsidR="00CC4D99" w:rsidRPr="000445D6" w:rsidRDefault="00CC4D99" w:rsidP="000445D6">
            <w:pPr>
              <w:jc w:val="both"/>
              <w:rPr>
                <w:rFonts w:ascii="Times New Roman" w:eastAsia="Calibri" w:hAnsi="Times New Roman" w:cs="Times New Roman"/>
                <w:b/>
                <w:bCs/>
                <w:sz w:val="24"/>
                <w:szCs w:val="24"/>
              </w:rPr>
            </w:pPr>
            <w:r w:rsidRPr="000445D6">
              <w:rPr>
                <w:rStyle w:val="cf01"/>
                <w:rFonts w:ascii="Times New Roman" w:hAnsi="Times New Roman" w:cs="Times New Roman"/>
                <w:sz w:val="24"/>
                <w:szCs w:val="24"/>
              </w:rPr>
              <w:t>Liitumislepingu tähtaja edasi lükkamine tekitab riski, et võrku ei jõuta valmis tootmise alustamise tähtajaks.</w:t>
            </w:r>
          </w:p>
          <w:p w14:paraId="42FD8977" w14:textId="4EF944F5" w:rsidR="00CC4D99" w:rsidRPr="00797EDC" w:rsidRDefault="00CC4D99" w:rsidP="4C6A5E2B">
            <w:pPr>
              <w:pStyle w:val="Loendilik"/>
              <w:ind w:left="-23"/>
              <w:jc w:val="both"/>
              <w:rPr>
                <w:rFonts w:ascii="Times New Roman" w:eastAsia="Calibri" w:hAnsi="Times New Roman" w:cs="Times New Roman"/>
                <w:b/>
                <w:bCs/>
                <w:sz w:val="24"/>
                <w:szCs w:val="24"/>
              </w:rPr>
            </w:pPr>
          </w:p>
        </w:tc>
      </w:tr>
      <w:tr w:rsidR="009A5E81" w:rsidRPr="005C0F32" w14:paraId="5D4CBD7B" w14:textId="77777777" w:rsidTr="3199B330">
        <w:trPr>
          <w:trHeight w:val="300"/>
        </w:trPr>
        <w:tc>
          <w:tcPr>
            <w:tcW w:w="10710" w:type="dxa"/>
          </w:tcPr>
          <w:p w14:paraId="7C0FF6F1" w14:textId="4654D4FD" w:rsidR="009A5E81" w:rsidRPr="005C0F32" w:rsidRDefault="009A5E81" w:rsidP="00F11797">
            <w:pPr>
              <w:pStyle w:val="Loendilik"/>
              <w:numPr>
                <w:ilvl w:val="1"/>
                <w:numId w:val="7"/>
              </w:numPr>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b/>
                <w:bCs/>
                <w:color w:val="000000"/>
                <w:sz w:val="24"/>
                <w:szCs w:val="24"/>
                <w:lang w:val="en-US"/>
              </w:rPr>
              <w:t>Connection guarantees</w:t>
            </w:r>
          </w:p>
          <w:p w14:paraId="0B817EAE" w14:textId="77777777" w:rsidR="009A5E81" w:rsidRPr="005C0F32" w:rsidRDefault="009A5E81" w:rsidP="009A5E81">
            <w:pPr>
              <w:pStyle w:val="Loendilik"/>
              <w:ind w:left="284"/>
              <w:rPr>
                <w:rFonts w:ascii="Times New Roman" w:eastAsia="Times New Roman" w:hAnsi="Times New Roman" w:cs="Times New Roman"/>
                <w:color w:val="000000"/>
                <w:sz w:val="24"/>
                <w:szCs w:val="24"/>
                <w:lang w:val="en-US"/>
              </w:rPr>
            </w:pPr>
          </w:p>
          <w:p w14:paraId="01E587E5"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We are concerned that even though </w:t>
            </w:r>
            <w:proofErr w:type="spellStart"/>
            <w:r w:rsidRPr="005C0F32">
              <w:rPr>
                <w:rFonts w:ascii="Times New Roman" w:eastAsia="Times New Roman" w:hAnsi="Times New Roman" w:cs="Times New Roman"/>
                <w:color w:val="000000"/>
                <w:sz w:val="24"/>
                <w:szCs w:val="24"/>
                <w:lang w:val="en-US"/>
              </w:rPr>
              <w:t>Elering</w:t>
            </w:r>
            <w:proofErr w:type="spellEnd"/>
            <w:r w:rsidRPr="005C0F32">
              <w:rPr>
                <w:rFonts w:ascii="Times New Roman" w:eastAsia="Times New Roman" w:hAnsi="Times New Roman" w:cs="Times New Roman"/>
                <w:color w:val="000000"/>
                <w:sz w:val="24"/>
                <w:szCs w:val="24"/>
                <w:lang w:val="en-US"/>
              </w:rPr>
              <w:t xml:space="preserve"> will be responsible for the pre-development of the main grid, the availability of grid components may prove to be a significant issue in the upcoming years, thereby delaying the completion date of new wind farms.</w:t>
            </w:r>
          </w:p>
          <w:p w14:paraId="5D9B15E2"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p>
          <w:p w14:paraId="21A37A10"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Therefore, we propose that projects which have been awarded the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support also be given a priority in the grid development pipeline of </w:t>
            </w:r>
            <w:proofErr w:type="spellStart"/>
            <w:r w:rsidRPr="005C0F32">
              <w:rPr>
                <w:rFonts w:ascii="Times New Roman" w:eastAsia="Times New Roman" w:hAnsi="Times New Roman" w:cs="Times New Roman"/>
                <w:color w:val="000000"/>
                <w:sz w:val="24"/>
                <w:szCs w:val="24"/>
                <w:lang w:val="en-US"/>
              </w:rPr>
              <w:t>Elering</w:t>
            </w:r>
            <w:proofErr w:type="spellEnd"/>
            <w:r w:rsidRPr="005C0F32">
              <w:rPr>
                <w:rFonts w:ascii="Times New Roman" w:eastAsia="Times New Roman" w:hAnsi="Times New Roman" w:cs="Times New Roman"/>
                <w:color w:val="000000"/>
                <w:sz w:val="24"/>
                <w:szCs w:val="24"/>
                <w:lang w:val="en-US"/>
              </w:rPr>
              <w:t>. This would ensure that the grid pre-development measure would foremost support the projects which are most likely to be completed by the developer.</w:t>
            </w:r>
          </w:p>
          <w:p w14:paraId="3DF74BC1" w14:textId="77777777" w:rsidR="009A5E81" w:rsidRPr="005C0F32" w:rsidRDefault="009A5E81" w:rsidP="009A5E81">
            <w:pPr>
              <w:jc w:val="both"/>
              <w:rPr>
                <w:rStyle w:val="Kommentaariviide"/>
                <w:rFonts w:ascii="Times New Roman" w:hAnsi="Times New Roman" w:cs="Times New Roman"/>
                <w:sz w:val="24"/>
                <w:szCs w:val="24"/>
              </w:rPr>
            </w:pPr>
          </w:p>
        </w:tc>
        <w:tc>
          <w:tcPr>
            <w:tcW w:w="3282" w:type="dxa"/>
          </w:tcPr>
          <w:p w14:paraId="38CDFAD7" w14:textId="5DAADB88" w:rsidR="00B71293" w:rsidRPr="00797EDC" w:rsidRDefault="00367C7D"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 xml:space="preserve">Mittearvestatud </w:t>
            </w:r>
          </w:p>
          <w:p w14:paraId="2FE3860E" w14:textId="234081D6" w:rsidR="69ACF809" w:rsidRPr="00797EDC" w:rsidRDefault="69ACF809" w:rsidP="69ACF809">
            <w:pPr>
              <w:pStyle w:val="Loendilik"/>
              <w:ind w:left="-23"/>
              <w:jc w:val="both"/>
              <w:rPr>
                <w:rFonts w:ascii="Times New Roman" w:eastAsia="Calibri" w:hAnsi="Times New Roman" w:cs="Times New Roman"/>
                <w:b/>
                <w:bCs/>
                <w:sz w:val="24"/>
                <w:szCs w:val="24"/>
              </w:rPr>
            </w:pPr>
          </w:p>
          <w:p w14:paraId="642AC61B" w14:textId="330D93C7" w:rsidR="00B71293" w:rsidRPr="00797EDC" w:rsidRDefault="0071588E" w:rsidP="00B71293">
            <w:pPr>
              <w:pStyle w:val="Loendilik"/>
              <w:ind w:left="-2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Oluline on tagada võrdne kohtlemine ning </w:t>
            </w:r>
            <w:r w:rsidR="00B71293" w:rsidRPr="00797EDC">
              <w:rPr>
                <w:rFonts w:ascii="Times New Roman" w:eastAsia="Calibri" w:hAnsi="Times New Roman" w:cs="Times New Roman"/>
                <w:sz w:val="24"/>
                <w:szCs w:val="24"/>
              </w:rPr>
              <w:t>võrgu planeeritavate arenduste õigeaeg</w:t>
            </w:r>
            <w:r>
              <w:rPr>
                <w:rFonts w:ascii="Times New Roman" w:eastAsia="Calibri" w:hAnsi="Times New Roman" w:cs="Times New Roman"/>
                <w:sz w:val="24"/>
                <w:szCs w:val="24"/>
              </w:rPr>
              <w:t>ne valmimine. Seetõttu ei ole erikohtlemist projektide vahel võimalik rakendada</w:t>
            </w:r>
            <w:r w:rsidR="00B71293" w:rsidRPr="00797EDC">
              <w:rPr>
                <w:rFonts w:ascii="Times New Roman" w:eastAsia="Calibri" w:hAnsi="Times New Roman" w:cs="Times New Roman"/>
                <w:sz w:val="24"/>
                <w:szCs w:val="24"/>
              </w:rPr>
              <w:t>.</w:t>
            </w:r>
            <w:r w:rsidR="00CC4D99" w:rsidRPr="00797EDC">
              <w:rPr>
                <w:rFonts w:ascii="Times New Roman" w:eastAsia="Calibri" w:hAnsi="Times New Roman" w:cs="Times New Roman"/>
                <w:sz w:val="24"/>
                <w:szCs w:val="24"/>
              </w:rPr>
              <w:t xml:space="preserve"> </w:t>
            </w:r>
          </w:p>
          <w:p w14:paraId="53221356" w14:textId="68C83875" w:rsidR="009A5E81" w:rsidRPr="00797EDC" w:rsidRDefault="009A5E81" w:rsidP="1FD60553">
            <w:pPr>
              <w:pStyle w:val="Loendilik"/>
              <w:ind w:left="-23"/>
              <w:jc w:val="both"/>
              <w:rPr>
                <w:rFonts w:ascii="Times New Roman" w:eastAsia="Calibri" w:hAnsi="Times New Roman" w:cs="Times New Roman"/>
                <w:b/>
                <w:bCs/>
                <w:sz w:val="24"/>
                <w:szCs w:val="24"/>
              </w:rPr>
            </w:pPr>
          </w:p>
        </w:tc>
      </w:tr>
      <w:tr w:rsidR="009A5E81" w:rsidRPr="005C0F32" w14:paraId="407FE1BB" w14:textId="77777777" w:rsidTr="3199B330">
        <w:trPr>
          <w:trHeight w:val="300"/>
        </w:trPr>
        <w:tc>
          <w:tcPr>
            <w:tcW w:w="10710" w:type="dxa"/>
          </w:tcPr>
          <w:p w14:paraId="295E39D8" w14:textId="77777777" w:rsidR="009A5E81" w:rsidRPr="005C0F32" w:rsidRDefault="009A5E81" w:rsidP="00F11797">
            <w:pPr>
              <w:pStyle w:val="Loendilik"/>
              <w:numPr>
                <w:ilvl w:val="0"/>
                <w:numId w:val="7"/>
              </w:numPr>
              <w:tabs>
                <w:tab w:val="left" w:pos="284"/>
              </w:tabs>
              <w:ind w:left="0" w:firstLine="0"/>
              <w:jc w:val="both"/>
              <w:rPr>
                <w:rFonts w:ascii="Times New Roman" w:eastAsia="Times New Roman" w:hAnsi="Times New Roman" w:cs="Times New Roman"/>
                <w:b/>
                <w:bCs/>
                <w:color w:val="000000"/>
                <w:sz w:val="24"/>
                <w:szCs w:val="24"/>
                <w:lang w:val="en-US"/>
              </w:rPr>
            </w:pPr>
            <w:r w:rsidRPr="005C0F32">
              <w:rPr>
                <w:rFonts w:ascii="Times New Roman" w:eastAsia="Times New Roman" w:hAnsi="Times New Roman" w:cs="Times New Roman"/>
                <w:b/>
                <w:bCs/>
                <w:color w:val="000000"/>
                <w:sz w:val="24"/>
                <w:szCs w:val="24"/>
                <w:lang w:val="en-US"/>
              </w:rPr>
              <w:t>Offshore auction</w:t>
            </w:r>
          </w:p>
          <w:p w14:paraId="203A0CC0" w14:textId="77777777" w:rsidR="009A5E81" w:rsidRPr="005C0F32" w:rsidRDefault="009A5E81" w:rsidP="009A5E81">
            <w:pPr>
              <w:jc w:val="both"/>
              <w:rPr>
                <w:rStyle w:val="Kommentaariviide"/>
                <w:rFonts w:ascii="Times New Roman" w:hAnsi="Times New Roman" w:cs="Times New Roman"/>
                <w:sz w:val="24"/>
                <w:szCs w:val="24"/>
              </w:rPr>
            </w:pPr>
          </w:p>
        </w:tc>
        <w:tc>
          <w:tcPr>
            <w:tcW w:w="3282" w:type="dxa"/>
          </w:tcPr>
          <w:p w14:paraId="6E07E8EE" w14:textId="49314B6C" w:rsidR="009A5E81" w:rsidRPr="00797EDC" w:rsidRDefault="00881081"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w:t>
            </w:r>
          </w:p>
        </w:tc>
      </w:tr>
      <w:tr w:rsidR="009A5E81" w:rsidRPr="005C0F32" w14:paraId="3FED1AC6" w14:textId="77777777" w:rsidTr="3199B330">
        <w:trPr>
          <w:trHeight w:val="300"/>
        </w:trPr>
        <w:tc>
          <w:tcPr>
            <w:tcW w:w="10710" w:type="dxa"/>
          </w:tcPr>
          <w:p w14:paraId="7ED82E69" w14:textId="77777777" w:rsidR="009A5E81" w:rsidRPr="005C0F32" w:rsidRDefault="009A5E81" w:rsidP="00F11797">
            <w:pPr>
              <w:pStyle w:val="Loendilik"/>
              <w:numPr>
                <w:ilvl w:val="1"/>
                <w:numId w:val="7"/>
              </w:numPr>
              <w:ind w:left="284" w:firstLine="0"/>
              <w:jc w:val="both"/>
              <w:rPr>
                <w:rFonts w:ascii="Times New Roman" w:eastAsia="Times New Roman" w:hAnsi="Times New Roman" w:cs="Times New Roman"/>
                <w:b/>
                <w:bCs/>
                <w:color w:val="000000"/>
                <w:sz w:val="24"/>
                <w:szCs w:val="24"/>
                <w:lang w:val="en-US"/>
              </w:rPr>
            </w:pPr>
            <w:r w:rsidRPr="005C0F32">
              <w:rPr>
                <w:rFonts w:ascii="Times New Roman" w:eastAsia="Times New Roman" w:hAnsi="Times New Roman" w:cs="Times New Roman"/>
                <w:b/>
                <w:bCs/>
                <w:color w:val="000000"/>
                <w:sz w:val="24"/>
                <w:szCs w:val="24"/>
                <w:lang w:val="en-US"/>
              </w:rPr>
              <w:t xml:space="preserve">Auction design </w:t>
            </w:r>
          </w:p>
          <w:p w14:paraId="467968E8" w14:textId="77777777" w:rsidR="009A5E81" w:rsidRPr="005C0F32" w:rsidRDefault="009A5E81" w:rsidP="009A5E81">
            <w:pPr>
              <w:pStyle w:val="Loendilik"/>
              <w:ind w:left="284"/>
              <w:jc w:val="both"/>
              <w:rPr>
                <w:rFonts w:ascii="Times New Roman" w:eastAsia="Times New Roman" w:hAnsi="Times New Roman" w:cs="Times New Roman"/>
                <w:b/>
                <w:bCs/>
                <w:color w:val="000000"/>
                <w:sz w:val="24"/>
                <w:szCs w:val="24"/>
                <w:lang w:val="en-US"/>
              </w:rPr>
            </w:pPr>
          </w:p>
          <w:p w14:paraId="3ABA6260"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We appreciate the Ministry of Climate's efforts on the potential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scheme for offshore wind farms and support the Estonian government’s initiative. However, we note that the proposed timeline and auction design are unconventional for the offshore wind industry. The developer will face a fully open risk profile at the time of bidding for the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(e.g., uncertainties around site conditions like wind resources and seabed, project design, development costs (DEVEX), capital and operational costs (CAPEX and OPEX), offtake, timeline- and execution risk, etc.) since the auction is set 8.5 years before the planned COD (further discussed in the section on bid submission by mid-2025). </w:t>
            </w:r>
          </w:p>
          <w:p w14:paraId="1B5CCB67"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p>
          <w:p w14:paraId="6B3BE702"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r w:rsidRPr="17A91744">
              <w:rPr>
                <w:rFonts w:ascii="Times New Roman" w:eastAsia="Times New Roman" w:hAnsi="Times New Roman" w:cs="Times New Roman"/>
                <w:color w:val="000000" w:themeColor="text1"/>
                <w:sz w:val="24"/>
                <w:szCs w:val="24"/>
                <w:lang w:val="en-US"/>
              </w:rPr>
              <w:t xml:space="preserve">The Ministry should consider that despite a proposed </w:t>
            </w:r>
            <w:proofErr w:type="spellStart"/>
            <w:r w:rsidRPr="17A91744">
              <w:rPr>
                <w:rFonts w:ascii="Times New Roman" w:eastAsia="Times New Roman" w:hAnsi="Times New Roman" w:cs="Times New Roman"/>
                <w:color w:val="000000" w:themeColor="text1"/>
                <w:sz w:val="24"/>
                <w:szCs w:val="24"/>
                <w:lang w:val="en-US"/>
              </w:rPr>
              <w:t>CfD</w:t>
            </w:r>
            <w:proofErr w:type="spellEnd"/>
            <w:r w:rsidRPr="17A91744">
              <w:rPr>
                <w:rFonts w:ascii="Times New Roman" w:eastAsia="Times New Roman" w:hAnsi="Times New Roman" w:cs="Times New Roman"/>
                <w:color w:val="000000" w:themeColor="text1"/>
                <w:sz w:val="24"/>
                <w:szCs w:val="24"/>
                <w:lang w:val="en-US"/>
              </w:rPr>
              <w:t xml:space="preserve"> to cover 20 years, only two-thirds of the power generated over the project’s lifetime (20 years out of 30+ years) will be covered under the </w:t>
            </w:r>
            <w:proofErr w:type="spellStart"/>
            <w:r w:rsidRPr="17A91744">
              <w:rPr>
                <w:rFonts w:ascii="Times New Roman" w:eastAsia="Times New Roman" w:hAnsi="Times New Roman" w:cs="Times New Roman"/>
                <w:color w:val="000000" w:themeColor="text1"/>
                <w:sz w:val="24"/>
                <w:szCs w:val="24"/>
                <w:lang w:val="en-US"/>
              </w:rPr>
              <w:t>CfD</w:t>
            </w:r>
            <w:proofErr w:type="spellEnd"/>
            <w:r w:rsidRPr="17A91744">
              <w:rPr>
                <w:rFonts w:ascii="Times New Roman" w:eastAsia="Times New Roman" w:hAnsi="Times New Roman" w:cs="Times New Roman"/>
                <w:color w:val="000000" w:themeColor="text1"/>
                <w:sz w:val="24"/>
                <w:szCs w:val="24"/>
                <w:lang w:val="en-US"/>
              </w:rPr>
              <w:t xml:space="preserve">, leaving the producer responsible for managing the merchant exposure and risk on the remaining one-third of the power produced. Further dilution of a clean two-side </w:t>
            </w:r>
            <w:proofErr w:type="spellStart"/>
            <w:r w:rsidRPr="17A91744">
              <w:rPr>
                <w:rFonts w:ascii="Times New Roman" w:eastAsia="Times New Roman" w:hAnsi="Times New Roman" w:cs="Times New Roman"/>
                <w:color w:val="000000" w:themeColor="text1"/>
                <w:sz w:val="24"/>
                <w:szCs w:val="24"/>
                <w:lang w:val="en-US"/>
              </w:rPr>
              <w:t>CfD</w:t>
            </w:r>
            <w:proofErr w:type="spellEnd"/>
            <w:r w:rsidRPr="17A91744">
              <w:rPr>
                <w:rFonts w:ascii="Times New Roman" w:eastAsia="Times New Roman" w:hAnsi="Times New Roman" w:cs="Times New Roman"/>
                <w:color w:val="000000" w:themeColor="text1"/>
                <w:sz w:val="24"/>
                <w:szCs w:val="24"/>
                <w:lang w:val="en-US"/>
              </w:rPr>
              <w:t>-mechanism will discourage participation by serious developers and hinders the government's efforts to accelerate offshore wind farm deployment, which is crucial for maintaining the future goal of 100% green electricity generation.</w:t>
            </w:r>
          </w:p>
          <w:p w14:paraId="0D4764FD" w14:textId="741A38FA" w:rsidR="009A5E81" w:rsidRPr="005C0F32" w:rsidRDefault="009A5E81" w:rsidP="009A5E81">
            <w:pPr>
              <w:jc w:val="both"/>
              <w:rPr>
                <w:rStyle w:val="Kommentaariviide"/>
                <w:rFonts w:ascii="Times New Roman" w:hAnsi="Times New Roman" w:cs="Times New Roman"/>
                <w:sz w:val="24"/>
                <w:szCs w:val="24"/>
              </w:rPr>
            </w:pPr>
          </w:p>
        </w:tc>
        <w:tc>
          <w:tcPr>
            <w:tcW w:w="3282" w:type="dxa"/>
          </w:tcPr>
          <w:p w14:paraId="21E59CEF" w14:textId="6D506E0A" w:rsidR="009A5E81" w:rsidRPr="00797EDC" w:rsidRDefault="00BC1A5A"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Mittearvestatud</w:t>
            </w:r>
          </w:p>
          <w:p w14:paraId="06FA0060" w14:textId="396F701F" w:rsidR="00BC1A5A" w:rsidRPr="000445D6" w:rsidRDefault="00AE3F2B" w:rsidP="000445D6">
            <w:pPr>
              <w:jc w:val="both"/>
              <w:rPr>
                <w:rFonts w:ascii="Times New Roman" w:eastAsia="Calibri" w:hAnsi="Times New Roman" w:cs="Times New Roman"/>
                <w:sz w:val="24"/>
                <w:szCs w:val="24"/>
              </w:rPr>
            </w:pPr>
            <w:r w:rsidRPr="000445D6">
              <w:rPr>
                <w:rFonts w:ascii="Times New Roman" w:eastAsia="Calibri" w:hAnsi="Times New Roman" w:cs="Times New Roman"/>
                <w:sz w:val="24"/>
                <w:szCs w:val="24"/>
              </w:rPr>
              <w:t xml:space="preserve">Riikliku meetme eesmärk on </w:t>
            </w:r>
            <w:r w:rsidR="00321A86" w:rsidRPr="000445D6">
              <w:rPr>
                <w:rFonts w:ascii="Times New Roman" w:eastAsia="Calibri" w:hAnsi="Times New Roman" w:cs="Times New Roman"/>
                <w:sz w:val="24"/>
                <w:szCs w:val="24"/>
              </w:rPr>
              <w:t>pakkuda ergutavat mõju projektide elluviimiseks, kuid mitte katta kogu kulu ega arendamisega seotud riski.</w:t>
            </w:r>
          </w:p>
        </w:tc>
      </w:tr>
      <w:tr w:rsidR="009A5E81" w:rsidRPr="005C0F32" w14:paraId="630129CE" w14:textId="77777777" w:rsidTr="3199B330">
        <w:trPr>
          <w:trHeight w:val="300"/>
        </w:trPr>
        <w:tc>
          <w:tcPr>
            <w:tcW w:w="10710" w:type="dxa"/>
          </w:tcPr>
          <w:p w14:paraId="5B9649E1" w14:textId="77777777" w:rsidR="009A5E81" w:rsidRPr="005C0F32" w:rsidRDefault="009A5E81" w:rsidP="00F11797">
            <w:pPr>
              <w:pStyle w:val="Loendilik"/>
              <w:numPr>
                <w:ilvl w:val="1"/>
                <w:numId w:val="7"/>
              </w:numPr>
              <w:ind w:left="284" w:firstLine="0"/>
              <w:rPr>
                <w:rFonts w:ascii="Times New Roman" w:eastAsia="Times New Roman" w:hAnsi="Times New Roman" w:cs="Times New Roman"/>
                <w:b/>
                <w:bCs/>
                <w:color w:val="000000"/>
                <w:sz w:val="24"/>
                <w:szCs w:val="24"/>
                <w:lang w:val="en-US"/>
              </w:rPr>
            </w:pPr>
            <w:r w:rsidRPr="005C0F32">
              <w:rPr>
                <w:rFonts w:ascii="Times New Roman" w:eastAsia="Times New Roman" w:hAnsi="Times New Roman" w:cs="Times New Roman"/>
                <w:b/>
                <w:bCs/>
                <w:color w:val="000000"/>
                <w:sz w:val="24"/>
                <w:szCs w:val="24"/>
                <w:lang w:val="en-US"/>
              </w:rPr>
              <w:t>EUR 65/MWh corridor</w:t>
            </w:r>
          </w:p>
          <w:p w14:paraId="2F9D142E" w14:textId="77777777" w:rsidR="009A5E81" w:rsidRPr="005C0F32" w:rsidRDefault="009A5E81" w:rsidP="009A5E81">
            <w:pPr>
              <w:pStyle w:val="Loendilik"/>
              <w:ind w:left="284"/>
              <w:rPr>
                <w:rFonts w:ascii="Times New Roman" w:eastAsia="Times New Roman" w:hAnsi="Times New Roman" w:cs="Times New Roman"/>
                <w:b/>
                <w:bCs/>
                <w:color w:val="000000"/>
                <w:sz w:val="24"/>
                <w:szCs w:val="24"/>
                <w:lang w:val="en-US"/>
              </w:rPr>
            </w:pPr>
          </w:p>
          <w:p w14:paraId="381C0194"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The proposed EUR 65/MW corridor on the strike price imposes a significant risk on the developer, in effect the developer is taking an unlimited downside risk, and in addition a potential upside gain is confiscated in </w:t>
            </w:r>
            <w:r w:rsidRPr="005C0F32">
              <w:rPr>
                <w:rFonts w:ascii="Times New Roman" w:eastAsia="Times New Roman" w:hAnsi="Times New Roman" w:cs="Times New Roman"/>
                <w:color w:val="000000"/>
                <w:sz w:val="24"/>
                <w:szCs w:val="24"/>
                <w:lang w:val="en-US"/>
              </w:rPr>
              <w:lastRenderedPageBreak/>
              <w:t xml:space="preserve">the current proposal. The government will see significantly higher strike prices if a corridor is maintained as developers would need to include not only costs into the strike price, as in other markets, but also revenue uncertainty risk. </w:t>
            </w:r>
          </w:p>
          <w:p w14:paraId="25754E94"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 </w:t>
            </w:r>
          </w:p>
          <w:p w14:paraId="20544601"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proofErr w:type="gramStart"/>
            <w:r w:rsidRPr="005C0F32">
              <w:rPr>
                <w:rFonts w:ascii="Times New Roman" w:eastAsia="Times New Roman" w:hAnsi="Times New Roman" w:cs="Times New Roman"/>
                <w:color w:val="000000"/>
                <w:sz w:val="24"/>
                <w:szCs w:val="24"/>
                <w:lang w:val="en-US"/>
              </w:rPr>
              <w:t>As a consequence</w:t>
            </w:r>
            <w:proofErr w:type="gramEnd"/>
            <w:r w:rsidRPr="005C0F32">
              <w:rPr>
                <w:rFonts w:ascii="Times New Roman" w:eastAsia="Times New Roman" w:hAnsi="Times New Roman" w:cs="Times New Roman"/>
                <w:color w:val="000000"/>
                <w:sz w:val="24"/>
                <w:szCs w:val="24"/>
                <w:lang w:val="en-US"/>
              </w:rPr>
              <w:t xml:space="preserve">, we suggest having a clean and transparent 2-way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with no corridor. </w:t>
            </w:r>
            <w:proofErr w:type="gramStart"/>
            <w:r w:rsidRPr="005C0F32">
              <w:rPr>
                <w:rFonts w:ascii="Times New Roman" w:eastAsia="Times New Roman" w:hAnsi="Times New Roman" w:cs="Times New Roman"/>
                <w:color w:val="000000"/>
                <w:sz w:val="24"/>
                <w:szCs w:val="24"/>
                <w:lang w:val="en-US"/>
              </w:rPr>
              <w:t>Such a mechanism,</w:t>
            </w:r>
            <w:proofErr w:type="gramEnd"/>
            <w:r w:rsidRPr="005C0F32">
              <w:rPr>
                <w:rFonts w:ascii="Times New Roman" w:eastAsia="Times New Roman" w:hAnsi="Times New Roman" w:cs="Times New Roman"/>
                <w:color w:val="000000"/>
                <w:sz w:val="24"/>
                <w:szCs w:val="24"/>
                <w:lang w:val="en-US"/>
              </w:rPr>
              <w:t xml:space="preserve"> better aligns with similar mechanisms seen in Europe and is easier to model and will reduce the risk premium included in a competitive strike price bid.</w:t>
            </w:r>
          </w:p>
          <w:p w14:paraId="5C0E5DB7"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p>
          <w:p w14:paraId="2E2E2F04"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Additionally, we will provide examples of state aid permits that did not require the inclusion of a price corridor alongside the annual budget cap.</w:t>
            </w:r>
          </w:p>
          <w:p w14:paraId="36097752" w14:textId="77777777" w:rsidR="009A5E81" w:rsidRPr="005C0F32" w:rsidRDefault="009A5E81" w:rsidP="009A5E81">
            <w:pPr>
              <w:jc w:val="both"/>
              <w:rPr>
                <w:rStyle w:val="Kommentaariviide"/>
                <w:rFonts w:ascii="Times New Roman" w:hAnsi="Times New Roman" w:cs="Times New Roman"/>
                <w:sz w:val="24"/>
                <w:szCs w:val="24"/>
              </w:rPr>
            </w:pPr>
          </w:p>
        </w:tc>
        <w:tc>
          <w:tcPr>
            <w:tcW w:w="3282" w:type="dxa"/>
          </w:tcPr>
          <w:p w14:paraId="0814365E" w14:textId="6CF804A3" w:rsidR="00186B6B" w:rsidRPr="00797EDC" w:rsidRDefault="00CC4D99"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Selgitame</w:t>
            </w:r>
          </w:p>
          <w:p w14:paraId="243366F2" w14:textId="6BE8AE11" w:rsidR="009A5E81" w:rsidRPr="00797EDC" w:rsidRDefault="00717867" w:rsidP="00186B6B">
            <w:pPr>
              <w:jc w:val="both"/>
              <w:rPr>
                <w:rFonts w:ascii="Times New Roman" w:eastAsia="Calibri" w:hAnsi="Times New Roman" w:cs="Times New Roman"/>
                <w:sz w:val="24"/>
                <w:szCs w:val="24"/>
              </w:rPr>
            </w:pPr>
            <w:r>
              <w:rPr>
                <w:rFonts w:ascii="Times New Roman" w:eastAsia="Calibri" w:hAnsi="Times New Roman" w:cs="Times New Roman"/>
                <w:sz w:val="24"/>
                <w:szCs w:val="24"/>
              </w:rPr>
              <w:t>Eelnõu koostamise ajal läbi viidud</w:t>
            </w:r>
            <w:r w:rsidRPr="00797EDC">
              <w:rPr>
                <w:rFonts w:ascii="Times New Roman" w:eastAsia="Calibri" w:hAnsi="Times New Roman" w:cs="Times New Roman"/>
                <w:sz w:val="24"/>
                <w:szCs w:val="24"/>
              </w:rPr>
              <w:t xml:space="preserve"> </w:t>
            </w:r>
            <w:r w:rsidR="00322DD8" w:rsidRPr="00797EDC">
              <w:rPr>
                <w:rFonts w:ascii="Times New Roman" w:eastAsia="Calibri" w:hAnsi="Times New Roman" w:cs="Times New Roman"/>
                <w:sz w:val="24"/>
                <w:szCs w:val="24"/>
              </w:rPr>
              <w:t xml:space="preserve">hinnangul </w:t>
            </w:r>
            <w:r w:rsidR="004D7E6C" w:rsidRPr="00797EDC">
              <w:rPr>
                <w:rFonts w:ascii="Times New Roman" w:eastAsia="Calibri" w:hAnsi="Times New Roman" w:cs="Times New Roman"/>
                <w:sz w:val="24"/>
                <w:szCs w:val="24"/>
              </w:rPr>
              <w:t>vasta</w:t>
            </w:r>
            <w:r w:rsidR="003B72F3" w:rsidRPr="00797EDC">
              <w:rPr>
                <w:rFonts w:ascii="Times New Roman" w:eastAsia="Calibri" w:hAnsi="Times New Roman" w:cs="Times New Roman"/>
                <w:sz w:val="24"/>
                <w:szCs w:val="24"/>
              </w:rPr>
              <w:t>b</w:t>
            </w:r>
            <w:r w:rsidR="004D7E6C" w:rsidRPr="00797EDC">
              <w:rPr>
                <w:rFonts w:ascii="Times New Roman" w:eastAsia="Calibri" w:hAnsi="Times New Roman" w:cs="Times New Roman"/>
                <w:sz w:val="24"/>
                <w:szCs w:val="24"/>
              </w:rPr>
              <w:t xml:space="preserve"> </w:t>
            </w:r>
            <w:r w:rsidR="00304893" w:rsidRPr="00797EDC">
              <w:rPr>
                <w:rFonts w:ascii="Times New Roman" w:eastAsia="Calibri" w:hAnsi="Times New Roman" w:cs="Times New Roman"/>
                <w:sz w:val="24"/>
                <w:szCs w:val="24"/>
              </w:rPr>
              <w:t xml:space="preserve">esitatud toetuse </w:t>
            </w:r>
            <w:r w:rsidR="009A0294" w:rsidRPr="00797EDC">
              <w:rPr>
                <w:rFonts w:ascii="Times New Roman" w:eastAsia="Calibri" w:hAnsi="Times New Roman" w:cs="Times New Roman"/>
                <w:sz w:val="24"/>
                <w:szCs w:val="24"/>
              </w:rPr>
              <w:t xml:space="preserve">koridor </w:t>
            </w:r>
            <w:r w:rsidR="007D3170" w:rsidRPr="00797EDC">
              <w:rPr>
                <w:rFonts w:ascii="Times New Roman" w:eastAsia="Calibri" w:hAnsi="Times New Roman" w:cs="Times New Roman"/>
                <w:sz w:val="24"/>
                <w:szCs w:val="24"/>
              </w:rPr>
              <w:t xml:space="preserve">ja </w:t>
            </w:r>
            <w:r w:rsidR="007D3170" w:rsidRPr="00797EDC">
              <w:rPr>
                <w:rFonts w:ascii="Times New Roman" w:eastAsia="Calibri" w:hAnsi="Times New Roman" w:cs="Times New Roman"/>
                <w:sz w:val="24"/>
                <w:szCs w:val="24"/>
              </w:rPr>
              <w:lastRenderedPageBreak/>
              <w:t xml:space="preserve">toetatava elektrienergia </w:t>
            </w:r>
            <w:r w:rsidR="000D7461" w:rsidRPr="00797EDC">
              <w:rPr>
                <w:rFonts w:ascii="Times New Roman" w:eastAsia="Calibri" w:hAnsi="Times New Roman" w:cs="Times New Roman"/>
                <w:sz w:val="24"/>
                <w:szCs w:val="24"/>
              </w:rPr>
              <w:t>mah</w:t>
            </w:r>
            <w:r w:rsidR="003B72F3" w:rsidRPr="00797EDC">
              <w:rPr>
                <w:rFonts w:ascii="Times New Roman" w:eastAsia="Calibri" w:hAnsi="Times New Roman" w:cs="Times New Roman"/>
                <w:sz w:val="24"/>
                <w:szCs w:val="24"/>
              </w:rPr>
              <w:t>t</w:t>
            </w:r>
            <w:r w:rsidR="000D7461" w:rsidRPr="00797EDC">
              <w:rPr>
                <w:rFonts w:ascii="Times New Roman" w:eastAsia="Calibri" w:hAnsi="Times New Roman" w:cs="Times New Roman"/>
                <w:sz w:val="24"/>
                <w:szCs w:val="24"/>
              </w:rPr>
              <w:t xml:space="preserve"> </w:t>
            </w:r>
            <w:r w:rsidR="00023543" w:rsidRPr="00797EDC">
              <w:rPr>
                <w:rFonts w:ascii="Times New Roman" w:eastAsia="Calibri" w:hAnsi="Times New Roman" w:cs="Times New Roman"/>
                <w:sz w:val="24"/>
                <w:szCs w:val="24"/>
              </w:rPr>
              <w:t xml:space="preserve">suurimale </w:t>
            </w:r>
            <w:r w:rsidR="000E10ED" w:rsidRPr="00797EDC">
              <w:rPr>
                <w:rFonts w:ascii="Times New Roman" w:eastAsia="Calibri" w:hAnsi="Times New Roman" w:cs="Times New Roman"/>
                <w:sz w:val="24"/>
                <w:szCs w:val="24"/>
              </w:rPr>
              <w:t xml:space="preserve">võimalikule </w:t>
            </w:r>
            <w:r w:rsidR="00023543" w:rsidRPr="00797EDC">
              <w:rPr>
                <w:rFonts w:ascii="Times New Roman" w:eastAsia="Calibri" w:hAnsi="Times New Roman" w:cs="Times New Roman"/>
                <w:sz w:val="24"/>
                <w:szCs w:val="24"/>
              </w:rPr>
              <w:t>elektritarbimise kasvu stsenaariumile</w:t>
            </w:r>
            <w:r w:rsidR="005B6465" w:rsidRPr="00797EDC">
              <w:rPr>
                <w:rFonts w:ascii="Times New Roman" w:eastAsia="Calibri" w:hAnsi="Times New Roman" w:cs="Times New Roman"/>
                <w:sz w:val="24"/>
                <w:szCs w:val="24"/>
              </w:rPr>
              <w:t xml:space="preserve"> ja taastuvenergia tasu kogumise baasile</w:t>
            </w:r>
            <w:r w:rsidR="00023543" w:rsidRPr="00797EDC">
              <w:rPr>
                <w:rFonts w:ascii="Times New Roman" w:eastAsia="Calibri" w:hAnsi="Times New Roman" w:cs="Times New Roman"/>
                <w:sz w:val="24"/>
                <w:szCs w:val="24"/>
              </w:rPr>
              <w:t xml:space="preserve">, millest tulenevalt </w:t>
            </w:r>
            <w:r w:rsidR="00D93DD6" w:rsidRPr="00797EDC">
              <w:rPr>
                <w:rFonts w:ascii="Times New Roman" w:eastAsia="Calibri" w:hAnsi="Times New Roman" w:cs="Times New Roman"/>
                <w:sz w:val="24"/>
                <w:szCs w:val="24"/>
              </w:rPr>
              <w:t xml:space="preserve">on tarvis </w:t>
            </w:r>
            <w:r w:rsidR="00023543" w:rsidRPr="00797EDC">
              <w:rPr>
                <w:rFonts w:ascii="Times New Roman" w:eastAsia="Calibri" w:hAnsi="Times New Roman" w:cs="Times New Roman"/>
                <w:sz w:val="24"/>
                <w:szCs w:val="24"/>
              </w:rPr>
              <w:t>meretuuleparke rajada</w:t>
            </w:r>
            <w:r w:rsidR="005B6465" w:rsidRPr="00797EDC">
              <w:rPr>
                <w:rFonts w:ascii="Times New Roman" w:eastAsia="Calibri" w:hAnsi="Times New Roman" w:cs="Times New Roman"/>
                <w:sz w:val="24"/>
                <w:szCs w:val="24"/>
              </w:rPr>
              <w:t xml:space="preserve">. </w:t>
            </w:r>
            <w:r w:rsidR="00186B6B" w:rsidRPr="00797EDC">
              <w:rPr>
                <w:rFonts w:ascii="Times New Roman" w:eastAsia="Calibri" w:hAnsi="Times New Roman" w:cs="Times New Roman"/>
                <w:sz w:val="24"/>
                <w:szCs w:val="24"/>
              </w:rPr>
              <w:t>Toetusk</w:t>
            </w:r>
            <w:r w:rsidR="000F4773" w:rsidRPr="00797EDC">
              <w:rPr>
                <w:rFonts w:ascii="Times New Roman" w:eastAsia="Calibri" w:hAnsi="Times New Roman" w:cs="Times New Roman"/>
                <w:sz w:val="24"/>
                <w:szCs w:val="24"/>
              </w:rPr>
              <w:t>oridori kaota</w:t>
            </w:r>
            <w:r w:rsidR="00186B6B" w:rsidRPr="00797EDC">
              <w:rPr>
                <w:rFonts w:ascii="Times New Roman" w:eastAsia="Calibri" w:hAnsi="Times New Roman" w:cs="Times New Roman"/>
                <w:sz w:val="24"/>
                <w:szCs w:val="24"/>
              </w:rPr>
              <w:t>m</w:t>
            </w:r>
            <w:r w:rsidR="000F4773" w:rsidRPr="00797EDC">
              <w:rPr>
                <w:rFonts w:ascii="Times New Roman" w:eastAsia="Calibri" w:hAnsi="Times New Roman" w:cs="Times New Roman"/>
                <w:sz w:val="24"/>
                <w:szCs w:val="24"/>
              </w:rPr>
              <w:t xml:space="preserve">ine </w:t>
            </w:r>
            <w:r w:rsidR="00B54081" w:rsidRPr="00797EDC">
              <w:rPr>
                <w:rFonts w:ascii="Times New Roman" w:eastAsia="Calibri" w:hAnsi="Times New Roman" w:cs="Times New Roman"/>
                <w:sz w:val="24"/>
                <w:szCs w:val="24"/>
              </w:rPr>
              <w:t xml:space="preserve">suurendab </w:t>
            </w:r>
            <w:r w:rsidR="00004743" w:rsidRPr="00797EDC">
              <w:rPr>
                <w:rFonts w:ascii="Times New Roman" w:eastAsia="Calibri" w:hAnsi="Times New Roman" w:cs="Times New Roman"/>
                <w:sz w:val="24"/>
                <w:szCs w:val="24"/>
              </w:rPr>
              <w:t xml:space="preserve">riigi </w:t>
            </w:r>
            <w:r w:rsidR="00B54081" w:rsidRPr="00797EDC">
              <w:rPr>
                <w:rFonts w:ascii="Times New Roman" w:eastAsia="Calibri" w:hAnsi="Times New Roman" w:cs="Times New Roman"/>
                <w:sz w:val="24"/>
                <w:szCs w:val="24"/>
              </w:rPr>
              <w:t xml:space="preserve">kulu </w:t>
            </w:r>
            <w:r w:rsidR="00004743" w:rsidRPr="00797EDC">
              <w:rPr>
                <w:rFonts w:ascii="Times New Roman" w:eastAsia="Calibri" w:hAnsi="Times New Roman" w:cs="Times New Roman"/>
                <w:sz w:val="24"/>
                <w:szCs w:val="24"/>
              </w:rPr>
              <w:t>toetus</w:t>
            </w:r>
            <w:r w:rsidR="00B54081" w:rsidRPr="00797EDC">
              <w:rPr>
                <w:rFonts w:ascii="Times New Roman" w:eastAsia="Calibri" w:hAnsi="Times New Roman" w:cs="Times New Roman"/>
                <w:sz w:val="24"/>
                <w:szCs w:val="24"/>
              </w:rPr>
              <w:t>meetmele</w:t>
            </w:r>
            <w:r w:rsidR="00004743" w:rsidRPr="00797EDC">
              <w:rPr>
                <w:rFonts w:ascii="Times New Roman" w:eastAsia="Calibri" w:hAnsi="Times New Roman" w:cs="Times New Roman"/>
                <w:sz w:val="24"/>
                <w:szCs w:val="24"/>
              </w:rPr>
              <w:t xml:space="preserve"> ja sellest lähtu</w:t>
            </w:r>
            <w:r w:rsidR="008C5E6D" w:rsidRPr="00797EDC">
              <w:rPr>
                <w:rFonts w:ascii="Times New Roman" w:eastAsia="Calibri" w:hAnsi="Times New Roman" w:cs="Times New Roman"/>
                <w:sz w:val="24"/>
                <w:szCs w:val="24"/>
              </w:rPr>
              <w:t xml:space="preserve">valt </w:t>
            </w:r>
            <w:r w:rsidR="00004743" w:rsidRPr="00797EDC">
              <w:rPr>
                <w:rFonts w:ascii="Times New Roman" w:eastAsia="Calibri" w:hAnsi="Times New Roman" w:cs="Times New Roman"/>
                <w:sz w:val="24"/>
                <w:szCs w:val="24"/>
              </w:rPr>
              <w:t>taastuvenergia tasu.</w:t>
            </w:r>
            <w:r w:rsidR="008C5E6D" w:rsidRPr="00797EDC">
              <w:rPr>
                <w:rFonts w:ascii="Times New Roman" w:eastAsia="Calibri" w:hAnsi="Times New Roman" w:cs="Times New Roman"/>
                <w:sz w:val="24"/>
                <w:szCs w:val="24"/>
              </w:rPr>
              <w:t xml:space="preserve"> Tasu suureneks ulatuses, mis </w:t>
            </w:r>
            <w:r w:rsidR="00231144" w:rsidRPr="00797EDC">
              <w:rPr>
                <w:rFonts w:ascii="Times New Roman" w:eastAsia="Calibri" w:hAnsi="Times New Roman" w:cs="Times New Roman"/>
                <w:sz w:val="24"/>
                <w:szCs w:val="24"/>
              </w:rPr>
              <w:t xml:space="preserve">muutuks </w:t>
            </w:r>
            <w:r w:rsidR="00880B9E" w:rsidRPr="00797EDC">
              <w:rPr>
                <w:rFonts w:ascii="Times New Roman" w:eastAsia="Calibri" w:hAnsi="Times New Roman" w:cs="Times New Roman"/>
                <w:sz w:val="24"/>
                <w:szCs w:val="24"/>
              </w:rPr>
              <w:t>elektritarbijale koormavaks.</w:t>
            </w:r>
            <w:r w:rsidR="00004743" w:rsidRPr="00797EDC">
              <w:rPr>
                <w:rFonts w:ascii="Times New Roman" w:eastAsia="Calibri" w:hAnsi="Times New Roman" w:cs="Times New Roman"/>
                <w:sz w:val="24"/>
                <w:szCs w:val="24"/>
              </w:rPr>
              <w:t xml:space="preserve"> </w:t>
            </w:r>
          </w:p>
        </w:tc>
      </w:tr>
      <w:tr w:rsidR="009A5E81" w:rsidRPr="005C0F32" w14:paraId="455E6730" w14:textId="77777777" w:rsidTr="3199B330">
        <w:trPr>
          <w:trHeight w:val="300"/>
        </w:trPr>
        <w:tc>
          <w:tcPr>
            <w:tcW w:w="10710" w:type="dxa"/>
          </w:tcPr>
          <w:p w14:paraId="312A5F67" w14:textId="77777777" w:rsidR="009A5E81" w:rsidRPr="005C0F32" w:rsidRDefault="009A5E81" w:rsidP="00F11797">
            <w:pPr>
              <w:pStyle w:val="Loendilik"/>
              <w:numPr>
                <w:ilvl w:val="1"/>
                <w:numId w:val="7"/>
              </w:numPr>
              <w:ind w:left="284" w:firstLine="0"/>
              <w:rPr>
                <w:rFonts w:ascii="Times New Roman" w:eastAsia="Times New Roman" w:hAnsi="Times New Roman" w:cs="Times New Roman"/>
                <w:b/>
                <w:bCs/>
                <w:color w:val="000000"/>
                <w:sz w:val="24"/>
                <w:szCs w:val="24"/>
                <w:lang w:val="en-US"/>
              </w:rPr>
            </w:pPr>
            <w:r w:rsidRPr="005C0F32">
              <w:rPr>
                <w:rFonts w:ascii="Times New Roman" w:eastAsia="Times New Roman" w:hAnsi="Times New Roman" w:cs="Times New Roman"/>
                <w:b/>
                <w:bCs/>
                <w:color w:val="000000"/>
                <w:sz w:val="24"/>
                <w:szCs w:val="24"/>
                <w:lang w:val="en-US"/>
              </w:rPr>
              <w:lastRenderedPageBreak/>
              <w:t xml:space="preserve">Budget restriction </w:t>
            </w:r>
          </w:p>
          <w:p w14:paraId="419AB33B" w14:textId="77777777" w:rsidR="009A5E81" w:rsidRPr="005C0F32" w:rsidRDefault="009A5E81" w:rsidP="009A5E81">
            <w:pPr>
              <w:pStyle w:val="Loendilik"/>
              <w:ind w:left="284"/>
              <w:rPr>
                <w:rFonts w:ascii="Times New Roman" w:eastAsia="Times New Roman" w:hAnsi="Times New Roman" w:cs="Times New Roman"/>
                <w:b/>
                <w:bCs/>
                <w:color w:val="000000"/>
                <w:sz w:val="24"/>
                <w:szCs w:val="24"/>
                <w:lang w:val="en-US"/>
              </w:rPr>
            </w:pPr>
          </w:p>
          <w:p w14:paraId="66DABCD7"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As we understand, the objective is to deliver price stability within a fixed supply led budget, meaning the maximum annual financial support allocated for offshore wind projects is 130 MEUR (derived as the maximum support of 65 EUR/MWh for a full 2 TWh of electricity, which could only theoretically be used with the currently proposed 65 EUR/MWh corridor). </w:t>
            </w:r>
          </w:p>
          <w:p w14:paraId="708B7F36"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p>
          <w:p w14:paraId="329C252B"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The restricted budget may prove insufficient for the support of a 2 TWh annual production/500MW wind farm, and the government may have limited success in ensuring sufficient competition and attracting serious investors. </w:t>
            </w:r>
          </w:p>
          <w:p w14:paraId="2B4AA17D"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p>
          <w:p w14:paraId="6921FB18" w14:textId="77777777" w:rsidR="009A5E81" w:rsidRPr="005C0F32" w:rsidRDefault="009A5E81" w:rsidP="009A5E81">
            <w:pPr>
              <w:ind w:firstLine="284"/>
              <w:jc w:val="both"/>
              <w:rPr>
                <w:rFonts w:ascii="Times New Roman" w:eastAsia="Times New Roman" w:hAnsi="Times New Roman" w:cs="Times New Roman"/>
                <w:color w:val="000000"/>
                <w:sz w:val="24"/>
                <w:szCs w:val="24"/>
                <w:lang w:val="en-US"/>
              </w:rPr>
            </w:pPr>
            <w:proofErr w:type="gramStart"/>
            <w:r w:rsidRPr="005C0F32">
              <w:rPr>
                <w:rFonts w:ascii="Times New Roman" w:eastAsia="Times New Roman" w:hAnsi="Times New Roman" w:cs="Times New Roman"/>
                <w:color w:val="000000"/>
                <w:sz w:val="24"/>
                <w:szCs w:val="24"/>
                <w:lang w:val="en-US"/>
              </w:rPr>
              <w:t>As a consequence</w:t>
            </w:r>
            <w:proofErr w:type="gramEnd"/>
            <w:r w:rsidRPr="005C0F32">
              <w:rPr>
                <w:rFonts w:ascii="Times New Roman" w:eastAsia="Times New Roman" w:hAnsi="Times New Roman" w:cs="Times New Roman"/>
                <w:color w:val="000000"/>
                <w:sz w:val="24"/>
                <w:szCs w:val="24"/>
                <w:lang w:val="en-US"/>
              </w:rPr>
              <w:t>, our asks are:</w:t>
            </w:r>
          </w:p>
          <w:p w14:paraId="57AABAE2" w14:textId="77777777" w:rsidR="009A5E81" w:rsidRPr="005C0F32" w:rsidRDefault="009A5E81" w:rsidP="009A5E81">
            <w:pPr>
              <w:pStyle w:val="Loendilik"/>
              <w:ind w:left="502"/>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w:t>
            </w:r>
            <w:r w:rsidRPr="005C0F32">
              <w:rPr>
                <w:rFonts w:ascii="Times New Roman" w:eastAsia="Times New Roman" w:hAnsi="Times New Roman" w:cs="Times New Roman"/>
                <w:color w:val="000000"/>
                <w:sz w:val="24"/>
                <w:szCs w:val="24"/>
                <w:lang w:val="en-US"/>
              </w:rPr>
              <w:tab/>
              <w:t>Set the budget as a ‘net budget’, i.e. any payments made to the state at times of high prices are added to the available budget.</w:t>
            </w:r>
          </w:p>
          <w:p w14:paraId="4BD050E9" w14:textId="77777777" w:rsidR="009A5E81" w:rsidRPr="005C0F32" w:rsidRDefault="009A5E81" w:rsidP="009A5E81">
            <w:pPr>
              <w:pStyle w:val="Loendilik"/>
              <w:ind w:left="502"/>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w:t>
            </w:r>
            <w:r w:rsidRPr="005C0F32">
              <w:rPr>
                <w:rFonts w:ascii="Times New Roman" w:eastAsia="Times New Roman" w:hAnsi="Times New Roman" w:cs="Times New Roman"/>
                <w:color w:val="000000"/>
                <w:sz w:val="24"/>
                <w:szCs w:val="24"/>
                <w:lang w:val="en-US"/>
              </w:rPr>
              <w:tab/>
              <w:t>Have the budget average out over of a longer period than 1 year, e.g. 5 years period (this would limit the government’s and offshore wind farm’s exposure to extraordinarily low or high electricity price years).</w:t>
            </w:r>
          </w:p>
          <w:p w14:paraId="11BCC833" w14:textId="77777777" w:rsidR="009A5E81" w:rsidRPr="005C0F32" w:rsidRDefault="009A5E81" w:rsidP="009A5E81">
            <w:pPr>
              <w:pStyle w:val="Loendilik"/>
              <w:ind w:left="502"/>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w:t>
            </w:r>
            <w:r w:rsidRPr="005C0F32">
              <w:rPr>
                <w:rFonts w:ascii="Times New Roman" w:eastAsia="Times New Roman" w:hAnsi="Times New Roman" w:cs="Times New Roman"/>
                <w:color w:val="000000"/>
                <w:sz w:val="24"/>
                <w:szCs w:val="24"/>
                <w:lang w:val="en-US"/>
              </w:rPr>
              <w:tab/>
              <w:t xml:space="preserve">Set a sufficient budget which would attract serious developers and have competition drive down the strike price (clean and transparent 2-way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w:t>
            </w:r>
          </w:p>
          <w:p w14:paraId="1258FFEE" w14:textId="77777777" w:rsidR="009A5E81" w:rsidRPr="005C0F32" w:rsidRDefault="009A5E81" w:rsidP="009A5E81">
            <w:pPr>
              <w:pStyle w:val="Loendilik"/>
              <w:ind w:left="502"/>
              <w:jc w:val="both"/>
              <w:rPr>
                <w:rFonts w:ascii="Times New Roman" w:eastAsia="Times New Roman" w:hAnsi="Times New Roman" w:cs="Times New Roman"/>
                <w:color w:val="000000"/>
                <w:sz w:val="24"/>
                <w:szCs w:val="24"/>
                <w:lang w:val="en-US"/>
              </w:rPr>
            </w:pPr>
          </w:p>
          <w:p w14:paraId="7B5F1829"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r w:rsidRPr="1CCE2FB3">
              <w:rPr>
                <w:rFonts w:ascii="Times New Roman" w:eastAsia="Times New Roman" w:hAnsi="Times New Roman" w:cs="Times New Roman"/>
                <w:color w:val="000000" w:themeColor="text1"/>
                <w:sz w:val="24"/>
                <w:szCs w:val="24"/>
                <w:lang w:val="en-US"/>
              </w:rPr>
              <w:t xml:space="preserve">Insufficient budget for the </w:t>
            </w:r>
            <w:proofErr w:type="spellStart"/>
            <w:r w:rsidRPr="1CCE2FB3">
              <w:rPr>
                <w:rFonts w:ascii="Times New Roman" w:eastAsia="Times New Roman" w:hAnsi="Times New Roman" w:cs="Times New Roman"/>
                <w:color w:val="000000" w:themeColor="text1"/>
                <w:sz w:val="24"/>
                <w:szCs w:val="24"/>
                <w:lang w:val="en-US"/>
              </w:rPr>
              <w:t>CfD</w:t>
            </w:r>
            <w:proofErr w:type="spellEnd"/>
            <w:r w:rsidRPr="1CCE2FB3">
              <w:rPr>
                <w:rFonts w:ascii="Times New Roman" w:eastAsia="Times New Roman" w:hAnsi="Times New Roman" w:cs="Times New Roman"/>
                <w:color w:val="000000" w:themeColor="text1"/>
                <w:sz w:val="24"/>
                <w:szCs w:val="24"/>
                <w:lang w:val="en-US"/>
              </w:rPr>
              <w:t xml:space="preserve"> mechanisms has been the root cause of failed offshore wind auctions over the past years, e.g. UK round 5 and Lithuanian round 2. A realistic support level is required to attract serios </w:t>
            </w:r>
            <w:r w:rsidRPr="1CCE2FB3">
              <w:rPr>
                <w:rFonts w:ascii="Times New Roman" w:eastAsia="Times New Roman" w:hAnsi="Times New Roman" w:cs="Times New Roman"/>
                <w:color w:val="000000" w:themeColor="text1"/>
                <w:sz w:val="24"/>
                <w:szCs w:val="24"/>
                <w:lang w:val="en-US"/>
              </w:rPr>
              <w:lastRenderedPageBreak/>
              <w:t xml:space="preserve">developers, who understands the implications for bankability with open-ended merchant risk exposures. A clean and transparent 2-way </w:t>
            </w:r>
            <w:proofErr w:type="spellStart"/>
            <w:r w:rsidRPr="1CCE2FB3">
              <w:rPr>
                <w:rFonts w:ascii="Times New Roman" w:eastAsia="Times New Roman" w:hAnsi="Times New Roman" w:cs="Times New Roman"/>
                <w:color w:val="000000" w:themeColor="text1"/>
                <w:sz w:val="24"/>
                <w:szCs w:val="24"/>
                <w:lang w:val="en-US"/>
              </w:rPr>
              <w:t>CfD</w:t>
            </w:r>
            <w:proofErr w:type="spellEnd"/>
            <w:r w:rsidRPr="1CCE2FB3">
              <w:rPr>
                <w:rFonts w:ascii="Times New Roman" w:eastAsia="Times New Roman" w:hAnsi="Times New Roman" w:cs="Times New Roman"/>
                <w:color w:val="000000" w:themeColor="text1"/>
                <w:sz w:val="24"/>
                <w:szCs w:val="24"/>
                <w:lang w:val="en-US"/>
              </w:rPr>
              <w:t xml:space="preserve"> will have competition drive down the strike price and the ultimate budget required by developers.</w:t>
            </w:r>
          </w:p>
          <w:p w14:paraId="75B4B918" w14:textId="77777777" w:rsidR="009A5E81" w:rsidRPr="005C0F32" w:rsidRDefault="009A5E81" w:rsidP="009A5E81">
            <w:pPr>
              <w:jc w:val="both"/>
              <w:rPr>
                <w:rStyle w:val="Kommentaariviide"/>
                <w:rFonts w:ascii="Times New Roman" w:hAnsi="Times New Roman" w:cs="Times New Roman"/>
                <w:sz w:val="24"/>
                <w:szCs w:val="24"/>
              </w:rPr>
            </w:pPr>
          </w:p>
        </w:tc>
        <w:tc>
          <w:tcPr>
            <w:tcW w:w="3282" w:type="dxa"/>
          </w:tcPr>
          <w:p w14:paraId="47C6F886" w14:textId="77777777" w:rsidR="00CC4D99" w:rsidRPr="00797EDC" w:rsidRDefault="00CC499E" w:rsidP="00CC4D99">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Mittearvestatud</w:t>
            </w:r>
          </w:p>
          <w:p w14:paraId="0B56BF46" w14:textId="1E37CABA" w:rsidR="00CC4D99" w:rsidRPr="000445D6" w:rsidRDefault="00475375" w:rsidP="000445D6">
            <w:pPr>
              <w:jc w:val="both"/>
              <w:rPr>
                <w:rFonts w:ascii="Times New Roman" w:eastAsia="Calibri" w:hAnsi="Times New Roman" w:cs="Times New Roman"/>
                <w:b/>
                <w:bCs/>
                <w:sz w:val="24"/>
                <w:szCs w:val="24"/>
              </w:rPr>
            </w:pPr>
            <w:r w:rsidRPr="000445D6">
              <w:rPr>
                <w:rStyle w:val="cf01"/>
                <w:rFonts w:ascii="Times New Roman" w:hAnsi="Times New Roman" w:cs="Times New Roman"/>
                <w:sz w:val="24"/>
                <w:szCs w:val="24"/>
              </w:rPr>
              <w:t xml:space="preserve">Selgitame, et </w:t>
            </w:r>
            <w:r w:rsidR="003677E3" w:rsidRPr="000445D6">
              <w:rPr>
                <w:rStyle w:val="cf01"/>
                <w:rFonts w:ascii="Times New Roman" w:hAnsi="Times New Roman" w:cs="Times New Roman"/>
                <w:sz w:val="24"/>
                <w:szCs w:val="24"/>
              </w:rPr>
              <w:t>võttes arvesse tänase</w:t>
            </w:r>
            <w:r w:rsidR="00123A0C" w:rsidRPr="000445D6">
              <w:rPr>
                <w:rStyle w:val="cf01"/>
                <w:rFonts w:ascii="Times New Roman" w:hAnsi="Times New Roman" w:cs="Times New Roman"/>
                <w:sz w:val="24"/>
                <w:szCs w:val="24"/>
              </w:rPr>
              <w:t xml:space="preserve">id elektrienergia hindasid ning prognoose tulevaste energiahindade osas on koostatud </w:t>
            </w:r>
            <w:r w:rsidR="001B06B8" w:rsidRPr="000445D6">
              <w:rPr>
                <w:rStyle w:val="cf01"/>
                <w:rFonts w:ascii="Times New Roman" w:hAnsi="Times New Roman" w:cs="Times New Roman"/>
                <w:sz w:val="24"/>
                <w:szCs w:val="24"/>
              </w:rPr>
              <w:t xml:space="preserve">elektrienergia lõpphinna komponentide prognoos, mille kohaselt </w:t>
            </w:r>
            <w:r w:rsidR="00CC4D99" w:rsidRPr="000445D6">
              <w:rPr>
                <w:rStyle w:val="cf01"/>
                <w:rFonts w:ascii="Times New Roman" w:hAnsi="Times New Roman" w:cs="Times New Roman"/>
                <w:sz w:val="24"/>
                <w:szCs w:val="24"/>
              </w:rPr>
              <w:t>ei saa taastuvenergiatasu tõ</w:t>
            </w:r>
            <w:r w:rsidR="001B06B8" w:rsidRPr="000445D6">
              <w:rPr>
                <w:rStyle w:val="cf01"/>
                <w:rFonts w:ascii="Times New Roman" w:hAnsi="Times New Roman" w:cs="Times New Roman"/>
                <w:sz w:val="24"/>
                <w:szCs w:val="24"/>
              </w:rPr>
              <w:t>s</w:t>
            </w:r>
            <w:r w:rsidR="00CC4D99" w:rsidRPr="000445D6">
              <w:rPr>
                <w:rStyle w:val="cf01"/>
                <w:rFonts w:ascii="Times New Roman" w:hAnsi="Times New Roman" w:cs="Times New Roman"/>
                <w:sz w:val="24"/>
                <w:szCs w:val="24"/>
              </w:rPr>
              <w:t>ta üle 1</w:t>
            </w:r>
            <w:r w:rsidR="00C620AE" w:rsidRPr="000445D6">
              <w:rPr>
                <w:rStyle w:val="cf01"/>
                <w:rFonts w:ascii="Times New Roman" w:hAnsi="Times New Roman" w:cs="Times New Roman"/>
                <w:sz w:val="24"/>
                <w:szCs w:val="24"/>
              </w:rPr>
              <w:t>,</w:t>
            </w:r>
            <w:r w:rsidR="00CC4D99" w:rsidRPr="000445D6">
              <w:rPr>
                <w:rStyle w:val="cf01"/>
                <w:rFonts w:ascii="Times New Roman" w:hAnsi="Times New Roman" w:cs="Times New Roman"/>
                <w:sz w:val="24"/>
                <w:szCs w:val="24"/>
              </w:rPr>
              <w:t>3€/kWh kohta</w:t>
            </w:r>
            <w:r w:rsidR="001B06B8" w:rsidRPr="000445D6">
              <w:rPr>
                <w:rStyle w:val="cf01"/>
                <w:rFonts w:ascii="Times New Roman" w:hAnsi="Times New Roman" w:cs="Times New Roman"/>
                <w:sz w:val="24"/>
                <w:szCs w:val="24"/>
              </w:rPr>
              <w:t xml:space="preserve">. </w:t>
            </w:r>
            <w:r w:rsidR="009134B1" w:rsidRPr="000445D6">
              <w:rPr>
                <w:rStyle w:val="cf01"/>
                <w:rFonts w:ascii="Times New Roman" w:hAnsi="Times New Roman" w:cs="Times New Roman"/>
                <w:sz w:val="24"/>
                <w:szCs w:val="24"/>
              </w:rPr>
              <w:t xml:space="preserve">Vastasel </w:t>
            </w:r>
            <w:r w:rsidR="00D4489F" w:rsidRPr="000445D6">
              <w:rPr>
                <w:rStyle w:val="cf01"/>
                <w:rFonts w:ascii="Times New Roman" w:hAnsi="Times New Roman" w:cs="Times New Roman"/>
                <w:sz w:val="24"/>
                <w:szCs w:val="24"/>
              </w:rPr>
              <w:t xml:space="preserve">juhul </w:t>
            </w:r>
            <w:r w:rsidR="00D7613E" w:rsidRPr="000445D6">
              <w:rPr>
                <w:rStyle w:val="cf01"/>
                <w:rFonts w:ascii="Times New Roman" w:hAnsi="Times New Roman" w:cs="Times New Roman"/>
                <w:sz w:val="24"/>
                <w:szCs w:val="24"/>
              </w:rPr>
              <w:t xml:space="preserve">võib muutuda </w:t>
            </w:r>
            <w:r w:rsidR="00D4489F" w:rsidRPr="000445D6">
              <w:rPr>
                <w:rStyle w:val="cf01"/>
                <w:rFonts w:ascii="Times New Roman" w:hAnsi="Times New Roman" w:cs="Times New Roman"/>
                <w:sz w:val="24"/>
                <w:szCs w:val="24"/>
              </w:rPr>
              <w:t>taastuvenergia tasu maksmine lõpptarbijale</w:t>
            </w:r>
            <w:r w:rsidR="00390557" w:rsidRPr="000445D6">
              <w:rPr>
                <w:rStyle w:val="cf01"/>
                <w:rFonts w:ascii="Times New Roman" w:hAnsi="Times New Roman" w:cs="Times New Roman"/>
                <w:sz w:val="24"/>
                <w:szCs w:val="24"/>
              </w:rPr>
              <w:t xml:space="preserve"> liialt koormavaks</w:t>
            </w:r>
            <w:r w:rsidR="00B843F1" w:rsidRPr="000445D6">
              <w:rPr>
                <w:rStyle w:val="cf01"/>
                <w:rFonts w:ascii="Times New Roman" w:hAnsi="Times New Roman" w:cs="Times New Roman"/>
                <w:sz w:val="24"/>
                <w:szCs w:val="24"/>
              </w:rPr>
              <w:t>. S</w:t>
            </w:r>
            <w:r w:rsidR="00CC4D99" w:rsidRPr="000445D6">
              <w:rPr>
                <w:rStyle w:val="cf01"/>
                <w:rFonts w:ascii="Times New Roman" w:hAnsi="Times New Roman" w:cs="Times New Roman"/>
                <w:sz w:val="24"/>
                <w:szCs w:val="24"/>
              </w:rPr>
              <w:t>ellest tulenevalt peab skeemi eelarve olema piiratud.</w:t>
            </w:r>
          </w:p>
          <w:p w14:paraId="312DCEAC" w14:textId="2C353C7D" w:rsidR="00CC499E" w:rsidRPr="000445D6" w:rsidRDefault="00CC4D99" w:rsidP="000445D6">
            <w:pPr>
              <w:pStyle w:val="pf0"/>
              <w:jc w:val="both"/>
            </w:pPr>
            <w:r w:rsidRPr="00797EDC">
              <w:rPr>
                <w:rStyle w:val="cf01"/>
                <w:rFonts w:ascii="Times New Roman" w:hAnsi="Times New Roman" w:cs="Times New Roman"/>
                <w:sz w:val="24"/>
                <w:szCs w:val="24"/>
              </w:rPr>
              <w:t xml:space="preserve">Et tagada skeemi kooskõla proportsionaalsuse põhimõttega, minimiseerida negatiivset mõju konkurentsile turul ja tagada, et skeemi oleks võimalik kohaldada TCTF-i all </w:t>
            </w:r>
            <w:r w:rsidRPr="00797EDC">
              <w:rPr>
                <w:rStyle w:val="cf01"/>
                <w:rFonts w:ascii="Times New Roman" w:hAnsi="Times New Roman" w:cs="Times New Roman"/>
                <w:sz w:val="24"/>
                <w:szCs w:val="24"/>
              </w:rPr>
              <w:lastRenderedPageBreak/>
              <w:t>ning seega tagada taastuvenergia eesmärkide täitmine ning Eestile energiajulgeolek, on tarvis arvestada piirtoetusega 65</w:t>
            </w:r>
            <w:r w:rsidR="00617CC4" w:rsidRPr="00797EDC">
              <w:rPr>
                <w:rStyle w:val="cf01"/>
                <w:rFonts w:ascii="Times New Roman" w:hAnsi="Times New Roman" w:cs="Times New Roman"/>
                <w:sz w:val="24"/>
                <w:szCs w:val="24"/>
              </w:rPr>
              <w:t xml:space="preserve"> </w:t>
            </w:r>
            <w:r w:rsidRPr="00797EDC">
              <w:rPr>
                <w:rStyle w:val="cf01"/>
                <w:rFonts w:ascii="Times New Roman" w:hAnsi="Times New Roman" w:cs="Times New Roman"/>
                <w:sz w:val="24"/>
                <w:szCs w:val="24"/>
              </w:rPr>
              <w:t>€/</w:t>
            </w:r>
            <w:r w:rsidR="00617CC4" w:rsidRPr="00797EDC">
              <w:rPr>
                <w:rStyle w:val="cf01"/>
                <w:rFonts w:ascii="Times New Roman" w:hAnsi="Times New Roman" w:cs="Times New Roman"/>
                <w:sz w:val="24"/>
                <w:szCs w:val="24"/>
              </w:rPr>
              <w:t>MWh</w:t>
            </w:r>
            <w:r w:rsidRPr="00797EDC">
              <w:rPr>
                <w:rStyle w:val="cf01"/>
                <w:rFonts w:ascii="Times New Roman" w:hAnsi="Times New Roman" w:cs="Times New Roman"/>
                <w:sz w:val="24"/>
                <w:szCs w:val="24"/>
              </w:rPr>
              <w:t xml:space="preserve"> kohta.</w:t>
            </w:r>
          </w:p>
        </w:tc>
      </w:tr>
      <w:tr w:rsidR="009A5E81" w:rsidRPr="005C0F32" w14:paraId="61E0B743" w14:textId="77777777" w:rsidTr="3199B330">
        <w:trPr>
          <w:trHeight w:val="300"/>
        </w:trPr>
        <w:tc>
          <w:tcPr>
            <w:tcW w:w="10710" w:type="dxa"/>
          </w:tcPr>
          <w:p w14:paraId="7D153601" w14:textId="77777777" w:rsidR="009A5E81" w:rsidRPr="005C0F32" w:rsidRDefault="009A5E81" w:rsidP="00F11797">
            <w:pPr>
              <w:pStyle w:val="Loendilik"/>
              <w:numPr>
                <w:ilvl w:val="1"/>
                <w:numId w:val="7"/>
              </w:numPr>
              <w:ind w:left="284" w:firstLine="0"/>
              <w:jc w:val="both"/>
              <w:rPr>
                <w:rFonts w:ascii="Times New Roman" w:eastAsia="Times New Roman" w:hAnsi="Times New Roman" w:cs="Times New Roman"/>
                <w:b/>
                <w:bCs/>
                <w:color w:val="000000"/>
                <w:sz w:val="24"/>
                <w:szCs w:val="24"/>
                <w:lang w:val="en-US"/>
              </w:rPr>
            </w:pPr>
            <w:r w:rsidRPr="005C0F32">
              <w:rPr>
                <w:rFonts w:ascii="Times New Roman" w:eastAsia="Times New Roman" w:hAnsi="Times New Roman" w:cs="Times New Roman"/>
                <w:b/>
                <w:bCs/>
                <w:color w:val="000000"/>
                <w:sz w:val="24"/>
                <w:szCs w:val="24"/>
                <w:lang w:val="en-US"/>
              </w:rPr>
              <w:lastRenderedPageBreak/>
              <w:t>Indexation</w:t>
            </w:r>
          </w:p>
          <w:p w14:paraId="31C5BF9F" w14:textId="77777777" w:rsidR="009A5E81" w:rsidRPr="005C0F32" w:rsidRDefault="009A5E81" w:rsidP="009A5E81">
            <w:pPr>
              <w:pStyle w:val="Loendilik"/>
              <w:ind w:left="284"/>
              <w:jc w:val="both"/>
              <w:rPr>
                <w:rFonts w:ascii="Times New Roman" w:eastAsia="Times New Roman" w:hAnsi="Times New Roman" w:cs="Times New Roman"/>
                <w:b/>
                <w:bCs/>
                <w:color w:val="000000"/>
                <w:sz w:val="24"/>
                <w:szCs w:val="24"/>
                <w:lang w:val="en-US"/>
              </w:rPr>
            </w:pPr>
          </w:p>
          <w:p w14:paraId="0A5508F6"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Given the long-time from the auction until the end of support, indexation according to inflation is crucial to de-risk project the offtake exposure. Our suggestion would be to index the available support, e.g. 130M EUR p.a., starting from the bid submission year until the end of support to ensure that the real value of the support remains constant throughout the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period.</w:t>
            </w:r>
          </w:p>
          <w:p w14:paraId="7B4582CE"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p>
          <w:p w14:paraId="34B816F1"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Indexation is an efficient way of allocating the inflation risk. The developer will not have to include a risk premium to account for the uncertainty of future inflation, which would drive up the strike price. The government on the other hand will be </w:t>
            </w:r>
            <w:proofErr w:type="gramStart"/>
            <w:r w:rsidRPr="005C0F32">
              <w:rPr>
                <w:rFonts w:ascii="Times New Roman" w:eastAsia="Times New Roman" w:hAnsi="Times New Roman" w:cs="Times New Roman"/>
                <w:color w:val="000000"/>
                <w:sz w:val="24"/>
                <w:szCs w:val="24"/>
                <w:lang w:val="en-US"/>
              </w:rPr>
              <w:t>more or less immunized</w:t>
            </w:r>
            <w:proofErr w:type="gramEnd"/>
            <w:r w:rsidRPr="005C0F32">
              <w:rPr>
                <w:rFonts w:ascii="Times New Roman" w:eastAsia="Times New Roman" w:hAnsi="Times New Roman" w:cs="Times New Roman"/>
                <w:color w:val="000000"/>
                <w:sz w:val="24"/>
                <w:szCs w:val="24"/>
                <w:lang w:val="en-US"/>
              </w:rPr>
              <w:t xml:space="preserve"> to inflation, since government income over the 20-year period will on average follow the inflation.</w:t>
            </w:r>
          </w:p>
          <w:p w14:paraId="1554EA01"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p>
          <w:p w14:paraId="75A1E2A8" w14:textId="77777777" w:rsidR="009A5E81" w:rsidRPr="005C0F32" w:rsidRDefault="009A5E81" w:rsidP="009A5E81">
            <w:pPr>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Furthermore, as per the email on 8th of July and the attached excel calculation (Annex 1), we exemplify the difference in strike price for a simple 2-sided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between a non-indexed and indexed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The difference in the year 1 strike price is ~40%, where an indexed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strike price starts lower and only increases as inflation rises. The optics of a non-indexed and comparably higher strike price should not be underestimated when the winning strike price is announced to the public.</w:t>
            </w:r>
          </w:p>
          <w:p w14:paraId="4798F03C" w14:textId="77777777" w:rsidR="009A5E81" w:rsidRPr="005C0F32" w:rsidRDefault="009A5E81" w:rsidP="009A5E81">
            <w:pPr>
              <w:rPr>
                <w:rFonts w:ascii="Times New Roman" w:eastAsia="Times New Roman" w:hAnsi="Times New Roman" w:cs="Times New Roman"/>
                <w:b/>
                <w:bCs/>
                <w:color w:val="000000"/>
                <w:sz w:val="24"/>
                <w:szCs w:val="24"/>
                <w:lang w:val="en-US"/>
              </w:rPr>
            </w:pPr>
          </w:p>
        </w:tc>
        <w:tc>
          <w:tcPr>
            <w:tcW w:w="3282" w:type="dxa"/>
          </w:tcPr>
          <w:p w14:paraId="1FE3559D" w14:textId="77777777" w:rsidR="009A5E81" w:rsidRPr="00797EDC" w:rsidRDefault="0082033E"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Selgitame</w:t>
            </w:r>
          </w:p>
          <w:p w14:paraId="2246C0B6" w14:textId="77777777" w:rsidR="0082033E" w:rsidRPr="00797EDC" w:rsidRDefault="0082033E" w:rsidP="1FD60553">
            <w:pPr>
              <w:pStyle w:val="Loendilik"/>
              <w:ind w:left="-23"/>
              <w:jc w:val="both"/>
              <w:rPr>
                <w:rFonts w:ascii="Times New Roman" w:eastAsia="Calibri" w:hAnsi="Times New Roman" w:cs="Times New Roman"/>
                <w:sz w:val="24"/>
                <w:szCs w:val="24"/>
              </w:rPr>
            </w:pPr>
          </w:p>
          <w:p w14:paraId="5145126D" w14:textId="0AE3581F" w:rsidR="0082033E" w:rsidRPr="00797EDC" w:rsidRDefault="007D3BF1" w:rsidP="1FD6055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Eelnõu koostamisel on kaalutud ka </w:t>
            </w:r>
            <w:r w:rsidR="00D93671" w:rsidRPr="00797EDC">
              <w:rPr>
                <w:rFonts w:ascii="Times New Roman" w:eastAsia="Calibri" w:hAnsi="Times New Roman" w:cs="Times New Roman"/>
                <w:sz w:val="24"/>
                <w:szCs w:val="24"/>
              </w:rPr>
              <w:t>indekseerimise kasutuselevõttu, kuid arvestades</w:t>
            </w:r>
            <w:r w:rsidR="00A849DA" w:rsidRPr="00797EDC">
              <w:rPr>
                <w:rFonts w:ascii="Times New Roman" w:eastAsia="Calibri" w:hAnsi="Times New Roman" w:cs="Times New Roman"/>
                <w:sz w:val="24"/>
                <w:szCs w:val="24"/>
              </w:rPr>
              <w:t xml:space="preserve"> </w:t>
            </w:r>
            <w:r w:rsidR="00602D6F" w:rsidRPr="00797EDC">
              <w:rPr>
                <w:rFonts w:ascii="Times New Roman" w:eastAsia="Calibri" w:hAnsi="Times New Roman" w:cs="Times New Roman"/>
                <w:sz w:val="24"/>
                <w:szCs w:val="24"/>
              </w:rPr>
              <w:t>eelnõu kiireloomuli</w:t>
            </w:r>
            <w:r w:rsidR="005E3720" w:rsidRPr="00797EDC">
              <w:rPr>
                <w:rFonts w:ascii="Times New Roman" w:eastAsia="Calibri" w:hAnsi="Times New Roman" w:cs="Times New Roman"/>
                <w:sz w:val="24"/>
                <w:szCs w:val="24"/>
              </w:rPr>
              <w:t>s</w:t>
            </w:r>
            <w:r w:rsidR="00602D6F" w:rsidRPr="00797EDC">
              <w:rPr>
                <w:rFonts w:ascii="Times New Roman" w:eastAsia="Calibri" w:hAnsi="Times New Roman" w:cs="Times New Roman"/>
                <w:sz w:val="24"/>
                <w:szCs w:val="24"/>
              </w:rPr>
              <w:t xml:space="preserve">ust ja </w:t>
            </w:r>
            <w:r w:rsidR="00690035" w:rsidRPr="00797EDC">
              <w:rPr>
                <w:rFonts w:ascii="Times New Roman" w:eastAsia="Calibri" w:hAnsi="Times New Roman" w:cs="Times New Roman"/>
                <w:sz w:val="24"/>
                <w:szCs w:val="24"/>
              </w:rPr>
              <w:t xml:space="preserve">eelnõu </w:t>
            </w:r>
            <w:r w:rsidR="00683401" w:rsidRPr="00797EDC">
              <w:rPr>
                <w:rFonts w:ascii="Times New Roman" w:eastAsia="Calibri" w:hAnsi="Times New Roman" w:cs="Times New Roman"/>
                <w:sz w:val="24"/>
                <w:szCs w:val="24"/>
              </w:rPr>
              <w:t>muudatusega seonduva</w:t>
            </w:r>
            <w:r w:rsidR="00A62E4E" w:rsidRPr="00797EDC">
              <w:rPr>
                <w:rFonts w:ascii="Times New Roman" w:eastAsia="Calibri" w:hAnsi="Times New Roman" w:cs="Times New Roman"/>
                <w:sz w:val="24"/>
                <w:szCs w:val="24"/>
              </w:rPr>
              <w:t>t töömahtu</w:t>
            </w:r>
            <w:r w:rsidR="0095255D" w:rsidRPr="00797EDC">
              <w:rPr>
                <w:rFonts w:ascii="Times New Roman" w:eastAsia="Calibri" w:hAnsi="Times New Roman" w:cs="Times New Roman"/>
                <w:sz w:val="24"/>
                <w:szCs w:val="24"/>
              </w:rPr>
              <w:t xml:space="preserve"> ei osutunud võimalikuks </w:t>
            </w:r>
            <w:r w:rsidR="00EF3C8A" w:rsidRPr="00797EDC">
              <w:rPr>
                <w:rFonts w:ascii="Times New Roman" w:eastAsia="Calibri" w:hAnsi="Times New Roman" w:cs="Times New Roman"/>
                <w:sz w:val="24"/>
                <w:szCs w:val="24"/>
              </w:rPr>
              <w:t>indekseerimis</w:t>
            </w:r>
            <w:r w:rsidR="003550AF" w:rsidRPr="00797EDC">
              <w:rPr>
                <w:rFonts w:ascii="Times New Roman" w:eastAsia="Calibri" w:hAnsi="Times New Roman" w:cs="Times New Roman"/>
                <w:sz w:val="24"/>
                <w:szCs w:val="24"/>
              </w:rPr>
              <w:t>e põhimõtteid seadusesse kirjutada</w:t>
            </w:r>
            <w:r w:rsidR="0005451F" w:rsidRPr="00797EDC">
              <w:rPr>
                <w:rFonts w:ascii="Times New Roman" w:eastAsia="Calibri" w:hAnsi="Times New Roman" w:cs="Times New Roman"/>
                <w:sz w:val="24"/>
                <w:szCs w:val="24"/>
              </w:rPr>
              <w:t>.</w:t>
            </w:r>
            <w:r w:rsidR="00A718B2" w:rsidRPr="00797EDC">
              <w:rPr>
                <w:rFonts w:ascii="Times New Roman" w:eastAsia="Calibri" w:hAnsi="Times New Roman" w:cs="Times New Roman"/>
                <w:sz w:val="24"/>
                <w:szCs w:val="24"/>
              </w:rPr>
              <w:t xml:space="preserve"> </w:t>
            </w:r>
            <w:r w:rsidR="003550AF" w:rsidRPr="00797EDC">
              <w:rPr>
                <w:rFonts w:ascii="Times New Roman" w:eastAsia="Calibri" w:hAnsi="Times New Roman" w:cs="Times New Roman"/>
                <w:sz w:val="24"/>
                <w:szCs w:val="24"/>
              </w:rPr>
              <w:t>L</w:t>
            </w:r>
            <w:r w:rsidR="00A718B2" w:rsidRPr="00797EDC">
              <w:rPr>
                <w:rFonts w:ascii="Times New Roman" w:eastAsia="Calibri" w:hAnsi="Times New Roman" w:cs="Times New Roman"/>
                <w:sz w:val="24"/>
                <w:szCs w:val="24"/>
              </w:rPr>
              <w:t xml:space="preserve">isaks </w:t>
            </w:r>
            <w:r w:rsidR="0003302B" w:rsidRPr="00797EDC">
              <w:rPr>
                <w:rFonts w:ascii="Times New Roman" w:eastAsia="Calibri" w:hAnsi="Times New Roman" w:cs="Times New Roman"/>
                <w:sz w:val="24"/>
                <w:szCs w:val="24"/>
              </w:rPr>
              <w:t>on leitud, et i</w:t>
            </w:r>
            <w:r w:rsidR="0082033E" w:rsidRPr="00797EDC">
              <w:rPr>
                <w:rFonts w:ascii="Times New Roman" w:eastAsia="Calibri" w:hAnsi="Times New Roman" w:cs="Times New Roman"/>
                <w:sz w:val="24"/>
                <w:szCs w:val="24"/>
              </w:rPr>
              <w:t xml:space="preserve">nflatsiooni vastu indekseerimine </w:t>
            </w:r>
            <w:r w:rsidR="00D81002" w:rsidRPr="00797EDC">
              <w:rPr>
                <w:rFonts w:ascii="Times New Roman" w:eastAsia="Calibri" w:hAnsi="Times New Roman" w:cs="Times New Roman"/>
                <w:sz w:val="24"/>
                <w:szCs w:val="24"/>
              </w:rPr>
              <w:t xml:space="preserve">ei vähenda ettevõtjate inflatsiooniriski, kuna see </w:t>
            </w:r>
            <w:r w:rsidR="0082033E" w:rsidRPr="00797EDC">
              <w:rPr>
                <w:rFonts w:ascii="Times New Roman" w:eastAsia="Calibri" w:hAnsi="Times New Roman" w:cs="Times New Roman"/>
                <w:sz w:val="24"/>
                <w:szCs w:val="24"/>
              </w:rPr>
              <w:t>on</w:t>
            </w:r>
            <w:r w:rsidR="004B187C" w:rsidRPr="00797EDC">
              <w:rPr>
                <w:rFonts w:ascii="Times New Roman" w:eastAsia="Calibri" w:hAnsi="Times New Roman" w:cs="Times New Roman"/>
                <w:sz w:val="24"/>
                <w:szCs w:val="24"/>
              </w:rPr>
              <w:t xml:space="preserve"> eeldatavalt ettevõtjate</w:t>
            </w:r>
            <w:r w:rsidR="0082033E" w:rsidRPr="00797EDC">
              <w:rPr>
                <w:rFonts w:ascii="Times New Roman" w:eastAsia="Calibri" w:hAnsi="Times New Roman" w:cs="Times New Roman"/>
                <w:sz w:val="24"/>
                <w:szCs w:val="24"/>
              </w:rPr>
              <w:t xml:space="preserve"> äriplaani juba sisse kirjutatud.</w:t>
            </w:r>
          </w:p>
        </w:tc>
      </w:tr>
      <w:tr w:rsidR="009A5E81" w:rsidRPr="005C0F32" w14:paraId="49204D68" w14:textId="77777777" w:rsidTr="3199B330">
        <w:trPr>
          <w:trHeight w:val="300"/>
        </w:trPr>
        <w:tc>
          <w:tcPr>
            <w:tcW w:w="10710" w:type="dxa"/>
          </w:tcPr>
          <w:p w14:paraId="2A46506A" w14:textId="77777777" w:rsidR="009A5E81" w:rsidRPr="005C0F32" w:rsidRDefault="009A5E81" w:rsidP="00F11797">
            <w:pPr>
              <w:pStyle w:val="Loendilik"/>
              <w:numPr>
                <w:ilvl w:val="1"/>
                <w:numId w:val="7"/>
              </w:numPr>
              <w:ind w:left="284" w:firstLine="0"/>
              <w:rPr>
                <w:rFonts w:ascii="Times New Roman" w:eastAsia="Times New Roman" w:hAnsi="Times New Roman" w:cs="Times New Roman"/>
                <w:b/>
                <w:bCs/>
                <w:color w:val="000000"/>
                <w:sz w:val="24"/>
                <w:szCs w:val="24"/>
                <w:lang w:val="en-US"/>
              </w:rPr>
            </w:pPr>
            <w:r w:rsidRPr="005C0F32">
              <w:rPr>
                <w:rFonts w:ascii="Times New Roman" w:eastAsia="Times New Roman" w:hAnsi="Times New Roman" w:cs="Times New Roman"/>
                <w:b/>
                <w:bCs/>
                <w:color w:val="000000"/>
                <w:sz w:val="24"/>
                <w:szCs w:val="24"/>
                <w:lang w:val="en-US"/>
              </w:rPr>
              <w:t>Requirement to enter into a grid connection agreement within 36 months (3 years) from the announcement of the winner</w:t>
            </w:r>
          </w:p>
          <w:p w14:paraId="6687BB90" w14:textId="77777777" w:rsidR="009A5E81" w:rsidRPr="005C0F32" w:rsidRDefault="009A5E81" w:rsidP="009A5E81">
            <w:pPr>
              <w:pStyle w:val="Loendilik"/>
              <w:ind w:left="284"/>
              <w:rPr>
                <w:rFonts w:ascii="Times New Roman" w:eastAsia="Times New Roman" w:hAnsi="Times New Roman" w:cs="Times New Roman"/>
                <w:b/>
                <w:bCs/>
                <w:color w:val="000000"/>
                <w:sz w:val="24"/>
                <w:szCs w:val="24"/>
                <w:lang w:val="en-US"/>
              </w:rPr>
            </w:pPr>
          </w:p>
          <w:p w14:paraId="081B44E9" w14:textId="705801A4"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The timeline for the Liivi Project has been expedited </w:t>
            </w:r>
            <w:proofErr w:type="gramStart"/>
            <w:r w:rsidRPr="005C0F32">
              <w:rPr>
                <w:rFonts w:ascii="Times New Roman" w:eastAsia="Times New Roman" w:hAnsi="Times New Roman" w:cs="Times New Roman"/>
                <w:color w:val="000000"/>
                <w:sz w:val="24"/>
                <w:szCs w:val="24"/>
                <w:lang w:val="en-US"/>
              </w:rPr>
              <w:t>in order to</w:t>
            </w:r>
            <w:proofErr w:type="gramEnd"/>
            <w:r w:rsidRPr="005C0F32">
              <w:rPr>
                <w:rFonts w:ascii="Times New Roman" w:eastAsia="Times New Roman" w:hAnsi="Times New Roman" w:cs="Times New Roman"/>
                <w:color w:val="000000"/>
                <w:sz w:val="24"/>
                <w:szCs w:val="24"/>
                <w:lang w:val="en-US"/>
              </w:rPr>
              <w:t xml:space="preserve"> align with the anticipated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legislation. However, despite this acceleration, the earliest possible date to secure a grid connection agreement is projected to be between Q1 and Q2 of 2029. This is due to two primary factors: the need for a superficies license to be issued and the requirement to have onshore spatial planning initiated. </w:t>
            </w:r>
            <w:proofErr w:type="gramStart"/>
            <w:r w:rsidRPr="005C0F32">
              <w:rPr>
                <w:rFonts w:ascii="Times New Roman" w:eastAsia="Times New Roman" w:hAnsi="Times New Roman" w:cs="Times New Roman"/>
                <w:color w:val="000000"/>
                <w:sz w:val="24"/>
                <w:szCs w:val="24"/>
                <w:lang w:val="en-US"/>
              </w:rPr>
              <w:t>Both of these</w:t>
            </w:r>
            <w:proofErr w:type="gramEnd"/>
            <w:r w:rsidRPr="005C0F32">
              <w:rPr>
                <w:rFonts w:ascii="Times New Roman" w:eastAsia="Times New Roman" w:hAnsi="Times New Roman" w:cs="Times New Roman"/>
                <w:color w:val="000000"/>
                <w:sz w:val="24"/>
                <w:szCs w:val="24"/>
                <w:lang w:val="en-US"/>
              </w:rPr>
              <w:t xml:space="preserve"> requirements are set in the legislation; thus, we are not able to shorten the time that it takes to apply for a grid connection agreement. Therefore, we propose a 48-month (4 year) deadline for the producer to apply for grid connection agreement from the announcement of the winner considering the actual signing of the grid connection agreement might take time as well which we are not in control of. A shorter deadline than </w:t>
            </w:r>
            <w:r w:rsidRPr="005C0F32">
              <w:rPr>
                <w:rFonts w:ascii="Times New Roman" w:eastAsia="Times New Roman" w:hAnsi="Times New Roman" w:cs="Times New Roman"/>
                <w:color w:val="000000"/>
                <w:sz w:val="24"/>
                <w:szCs w:val="24"/>
                <w:lang w:val="en-US"/>
              </w:rPr>
              <w:lastRenderedPageBreak/>
              <w:t>4 years would disproportionately limit participation eligibility of the ‘second wave projects’ (those that have been awarded via the auction system) consequently leading to decreased competition in the auction.</w:t>
            </w:r>
          </w:p>
        </w:tc>
        <w:tc>
          <w:tcPr>
            <w:tcW w:w="3282" w:type="dxa"/>
          </w:tcPr>
          <w:p w14:paraId="1A25BEE9" w14:textId="44290BF5" w:rsidR="009A5E81" w:rsidRPr="00797EDC" w:rsidRDefault="00CC4D99" w:rsidP="4C6A5E2B">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Mittearvestatud</w:t>
            </w:r>
          </w:p>
          <w:p w14:paraId="3DD52702" w14:textId="77777777" w:rsidR="00CC4D99" w:rsidRPr="00797EDC" w:rsidRDefault="00CC4D99" w:rsidP="00CC4D99">
            <w:pPr>
              <w:pStyle w:val="pf0"/>
              <w:jc w:val="both"/>
            </w:pPr>
            <w:r w:rsidRPr="00797EDC">
              <w:rPr>
                <w:rStyle w:val="cf01"/>
                <w:rFonts w:ascii="Times New Roman" w:hAnsi="Times New Roman" w:cs="Times New Roman"/>
                <w:sz w:val="24"/>
                <w:szCs w:val="24"/>
              </w:rPr>
              <w:t>Liitumislepingu tähtaja edasi lükkamine tekitab riski, et võrku ei jõuta valmis tootmise alustamise tähtajaks. 36-kuuline tähtaeg võimaldab osaleda piisaval hulgal pakkujatel, et tagada konkurents.</w:t>
            </w:r>
          </w:p>
          <w:p w14:paraId="192F5D70" w14:textId="783E71A0" w:rsidR="00CC4D99" w:rsidRPr="00797EDC" w:rsidRDefault="00CC4D99" w:rsidP="4C6A5E2B">
            <w:pPr>
              <w:pStyle w:val="Loendilik"/>
              <w:ind w:left="-23"/>
              <w:jc w:val="both"/>
              <w:rPr>
                <w:rFonts w:ascii="Times New Roman" w:eastAsia="Calibri" w:hAnsi="Times New Roman" w:cs="Times New Roman"/>
                <w:b/>
                <w:bCs/>
                <w:sz w:val="24"/>
                <w:szCs w:val="24"/>
              </w:rPr>
            </w:pPr>
          </w:p>
        </w:tc>
      </w:tr>
      <w:tr w:rsidR="009A5E81" w:rsidRPr="005C0F32" w14:paraId="79C9FE7C" w14:textId="77777777" w:rsidTr="3199B330">
        <w:trPr>
          <w:trHeight w:val="300"/>
        </w:trPr>
        <w:tc>
          <w:tcPr>
            <w:tcW w:w="10710" w:type="dxa"/>
          </w:tcPr>
          <w:p w14:paraId="21D5783E" w14:textId="77777777" w:rsidR="009A5E81" w:rsidRPr="005C0F32" w:rsidRDefault="009A5E81" w:rsidP="00F11797">
            <w:pPr>
              <w:pStyle w:val="Loendilik"/>
              <w:numPr>
                <w:ilvl w:val="1"/>
                <w:numId w:val="7"/>
              </w:numPr>
              <w:ind w:left="284" w:firstLine="0"/>
              <w:jc w:val="both"/>
              <w:rPr>
                <w:rFonts w:ascii="Times New Roman" w:eastAsia="Times New Roman" w:hAnsi="Times New Roman" w:cs="Times New Roman"/>
                <w:b/>
                <w:bCs/>
                <w:color w:val="000000"/>
                <w:sz w:val="24"/>
                <w:szCs w:val="24"/>
                <w:lang w:val="en-US"/>
              </w:rPr>
            </w:pPr>
            <w:r w:rsidRPr="005C0F32">
              <w:rPr>
                <w:rFonts w:ascii="Times New Roman" w:eastAsia="Times New Roman" w:hAnsi="Times New Roman" w:cs="Times New Roman"/>
                <w:b/>
                <w:bCs/>
                <w:color w:val="000000"/>
                <w:sz w:val="24"/>
                <w:szCs w:val="24"/>
                <w:lang w:val="en-US"/>
              </w:rPr>
              <w:t>Deposit</w:t>
            </w:r>
          </w:p>
          <w:p w14:paraId="1572AD88"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p>
          <w:p w14:paraId="6B77E710"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The significant upfront financial requirements, comprising two deposits — (1) up to 40 MEUR for 2 TWh to submit a bid, and (2) a 22 MEUR deposit for 500 MW (44k per MW) as outlined in the draft law for entering into a grid connection agreement — are disproportionate to the risks the state intends to address. We therefore suggest lowering the bid submission deposit to 20 MEUR for a 2 TWh offshore wind farm project. This deposit would remain in effect until the producer submits the grid connection agreement deposit. At that point, the next deposit of 22 MEUR for 500 MW (44k per MW) would apply, as stipulated in the draft law.</w:t>
            </w:r>
          </w:p>
          <w:p w14:paraId="71E8348A"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p>
          <w:p w14:paraId="74348957"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Moreover, the producer should have the flexibility to provide alternative forms of security, such as a parent company guarantee if a parent has an investment grade rating, and the producer should be able to provide more than one guarantee which sums to the aggregate amount required. </w:t>
            </w:r>
          </w:p>
          <w:p w14:paraId="1E85CE83"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p>
          <w:p w14:paraId="5E3FDBCC" w14:textId="42852F7F"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This reduced deposit would still ensure producers commitment without tying up a substantial amount of capital, which could be better allocated toward project development, financing, or technical improvements, thus keeping resources focused on the project rather than on a non-productive financial guarantee.</w:t>
            </w:r>
          </w:p>
        </w:tc>
        <w:tc>
          <w:tcPr>
            <w:tcW w:w="3282" w:type="dxa"/>
          </w:tcPr>
          <w:p w14:paraId="72D6A8B5" w14:textId="6A57EAA9" w:rsidR="0090454F" w:rsidRPr="00797EDC" w:rsidRDefault="00FB0F9B"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Mittearvestatud</w:t>
            </w:r>
          </w:p>
          <w:p w14:paraId="5A2E536D" w14:textId="077F22F9" w:rsidR="69ACF809" w:rsidRPr="00797EDC" w:rsidRDefault="69ACF809" w:rsidP="69ACF809">
            <w:pPr>
              <w:pStyle w:val="Loendilik"/>
              <w:ind w:left="-23"/>
              <w:jc w:val="both"/>
              <w:rPr>
                <w:rFonts w:ascii="Times New Roman" w:eastAsia="Calibri" w:hAnsi="Times New Roman" w:cs="Times New Roman"/>
                <w:b/>
                <w:bCs/>
                <w:sz w:val="24"/>
                <w:szCs w:val="24"/>
              </w:rPr>
            </w:pPr>
          </w:p>
          <w:p w14:paraId="52E01672" w14:textId="3BEB98E7" w:rsidR="009A5E81" w:rsidRPr="00797EDC" w:rsidRDefault="003179FE" w:rsidP="1FD6055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Võttes arvesse, et deposiidi maksmise tähtaeg</w:t>
            </w:r>
            <w:r w:rsidR="0079112B" w:rsidRPr="00797EDC">
              <w:rPr>
                <w:rFonts w:ascii="Times New Roman" w:eastAsia="Calibri" w:hAnsi="Times New Roman" w:cs="Times New Roman"/>
                <w:sz w:val="24"/>
                <w:szCs w:val="24"/>
              </w:rPr>
              <w:t xml:space="preserve"> jääb tulevikku ning et inflatsioon vähendab deposiitide </w:t>
            </w:r>
            <w:r w:rsidR="00A5659C" w:rsidRPr="00797EDC">
              <w:rPr>
                <w:rFonts w:ascii="Times New Roman" w:eastAsia="Calibri" w:hAnsi="Times New Roman" w:cs="Times New Roman"/>
                <w:sz w:val="24"/>
                <w:szCs w:val="24"/>
              </w:rPr>
              <w:t>reaalväärtust</w:t>
            </w:r>
            <w:r w:rsidR="00FC3113" w:rsidRPr="00797EDC">
              <w:rPr>
                <w:rFonts w:ascii="Times New Roman" w:eastAsia="Calibri" w:hAnsi="Times New Roman" w:cs="Times New Roman"/>
                <w:sz w:val="24"/>
                <w:szCs w:val="24"/>
              </w:rPr>
              <w:t xml:space="preserve"> ja analüüsides </w:t>
            </w:r>
            <w:r w:rsidR="0059540E" w:rsidRPr="00797EDC">
              <w:rPr>
                <w:rFonts w:ascii="Times New Roman" w:eastAsia="Calibri" w:hAnsi="Times New Roman" w:cs="Times New Roman"/>
                <w:sz w:val="24"/>
                <w:szCs w:val="24"/>
              </w:rPr>
              <w:t xml:space="preserve">euroala </w:t>
            </w:r>
            <w:r w:rsidR="007263A3" w:rsidRPr="00797EDC">
              <w:rPr>
                <w:rFonts w:ascii="Times New Roman" w:eastAsia="Calibri" w:hAnsi="Times New Roman" w:cs="Times New Roman"/>
                <w:sz w:val="24"/>
                <w:szCs w:val="24"/>
              </w:rPr>
              <w:t xml:space="preserve">piirkonna deposiitide </w:t>
            </w:r>
            <w:r w:rsidR="00442AC4" w:rsidRPr="00797EDC">
              <w:rPr>
                <w:rFonts w:ascii="Times New Roman" w:eastAsia="Calibri" w:hAnsi="Times New Roman" w:cs="Times New Roman"/>
                <w:sz w:val="24"/>
                <w:szCs w:val="24"/>
              </w:rPr>
              <w:t>ning Eesti</w:t>
            </w:r>
            <w:r w:rsidR="00EC0304" w:rsidRPr="00797EDC">
              <w:rPr>
                <w:rFonts w:ascii="Times New Roman" w:eastAsia="Calibri" w:hAnsi="Times New Roman" w:cs="Times New Roman"/>
                <w:sz w:val="24"/>
                <w:szCs w:val="24"/>
              </w:rPr>
              <w:t xml:space="preserve"> deposiitide kujunemise poliitikat </w:t>
            </w:r>
            <w:r w:rsidR="00C02EDE" w:rsidRPr="00797EDC">
              <w:rPr>
                <w:rFonts w:ascii="Times New Roman" w:eastAsia="Calibri" w:hAnsi="Times New Roman" w:cs="Times New Roman"/>
                <w:sz w:val="24"/>
                <w:szCs w:val="24"/>
              </w:rPr>
              <w:t xml:space="preserve">on jõutud </w:t>
            </w:r>
            <w:r w:rsidR="007349AE" w:rsidRPr="00797EDC">
              <w:rPr>
                <w:rFonts w:ascii="Times New Roman" w:eastAsia="Calibri" w:hAnsi="Times New Roman" w:cs="Times New Roman"/>
                <w:sz w:val="24"/>
                <w:szCs w:val="24"/>
              </w:rPr>
              <w:t xml:space="preserve">arusaamisele, et </w:t>
            </w:r>
            <w:r w:rsidR="00C02EDE" w:rsidRPr="00797EDC">
              <w:rPr>
                <w:rFonts w:ascii="Times New Roman" w:eastAsia="Calibri" w:hAnsi="Times New Roman" w:cs="Times New Roman"/>
                <w:sz w:val="24"/>
                <w:szCs w:val="24"/>
              </w:rPr>
              <w:t xml:space="preserve">kavandatud </w:t>
            </w:r>
            <w:r w:rsidR="007349AE" w:rsidRPr="00797EDC">
              <w:rPr>
                <w:rFonts w:ascii="Times New Roman" w:eastAsia="Calibri" w:hAnsi="Times New Roman" w:cs="Times New Roman"/>
                <w:sz w:val="24"/>
                <w:szCs w:val="24"/>
              </w:rPr>
              <w:t>deposii</w:t>
            </w:r>
            <w:r w:rsidR="00397894" w:rsidRPr="00797EDC">
              <w:rPr>
                <w:rFonts w:ascii="Times New Roman" w:eastAsia="Calibri" w:hAnsi="Times New Roman" w:cs="Times New Roman"/>
                <w:sz w:val="24"/>
                <w:szCs w:val="24"/>
              </w:rPr>
              <w:t>d</w:t>
            </w:r>
            <w:r w:rsidR="007349AE" w:rsidRPr="00797EDC">
              <w:rPr>
                <w:rFonts w:ascii="Times New Roman" w:eastAsia="Calibri" w:hAnsi="Times New Roman" w:cs="Times New Roman"/>
                <w:sz w:val="24"/>
                <w:szCs w:val="24"/>
              </w:rPr>
              <w:t xml:space="preserve">id </w:t>
            </w:r>
            <w:r w:rsidR="00D0118B" w:rsidRPr="00797EDC">
              <w:rPr>
                <w:rFonts w:ascii="Times New Roman" w:eastAsia="Calibri" w:hAnsi="Times New Roman" w:cs="Times New Roman"/>
                <w:sz w:val="24"/>
                <w:szCs w:val="24"/>
              </w:rPr>
              <w:t>on kavandatud määras, mis ei ole liialt koormavad ettevõtjale</w:t>
            </w:r>
            <w:r w:rsidR="00FB0F9B" w:rsidRPr="00797EDC">
              <w:rPr>
                <w:rFonts w:ascii="Times New Roman" w:eastAsia="Calibri" w:hAnsi="Times New Roman" w:cs="Times New Roman"/>
                <w:sz w:val="24"/>
                <w:szCs w:val="24"/>
              </w:rPr>
              <w:t>.</w:t>
            </w:r>
          </w:p>
        </w:tc>
      </w:tr>
      <w:tr w:rsidR="009A5E81" w:rsidRPr="005C0F32" w14:paraId="369672AA" w14:textId="77777777" w:rsidTr="3199B330">
        <w:trPr>
          <w:trHeight w:val="300"/>
        </w:trPr>
        <w:tc>
          <w:tcPr>
            <w:tcW w:w="10710" w:type="dxa"/>
          </w:tcPr>
          <w:p w14:paraId="0A02BCFC" w14:textId="77777777" w:rsidR="009A5E81" w:rsidRPr="005C0F32" w:rsidRDefault="009A5E81" w:rsidP="00F11797">
            <w:pPr>
              <w:pStyle w:val="Loendilik"/>
              <w:numPr>
                <w:ilvl w:val="1"/>
                <w:numId w:val="7"/>
              </w:numPr>
              <w:ind w:left="284" w:firstLine="0"/>
              <w:rPr>
                <w:rFonts w:ascii="Times New Roman" w:eastAsia="Times New Roman" w:hAnsi="Times New Roman" w:cs="Times New Roman"/>
                <w:b/>
                <w:bCs/>
                <w:color w:val="000000"/>
                <w:sz w:val="24"/>
                <w:szCs w:val="24"/>
                <w:lang w:val="en-US"/>
              </w:rPr>
            </w:pPr>
            <w:r w:rsidRPr="005C0F32">
              <w:rPr>
                <w:rFonts w:ascii="Times New Roman" w:eastAsia="Times New Roman" w:hAnsi="Times New Roman" w:cs="Times New Roman"/>
                <w:b/>
                <w:bCs/>
                <w:color w:val="000000"/>
                <w:sz w:val="24"/>
                <w:szCs w:val="24"/>
                <w:lang w:val="en-US"/>
              </w:rPr>
              <w:t>Delay in production and the requirement to produce at least 60% of the annual capacity</w:t>
            </w:r>
          </w:p>
          <w:p w14:paraId="2618C426"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p>
          <w:p w14:paraId="1F29ACEA"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The current wording suggests that the support payments will be suspended if the producer does not produce at least 60% of the annual capacity within a 12-month period with a possibility to ask for a 6-month extension. We propose that the consequence for delay is that the support period will be reduced in accordance with the duration of the delay in production by the producer. The requirement to produce at least 60% of the annual capacity shall be effective from the date the generation unit has reached its full capacity. If the producer is late in starting the production, the support will be reduced accordingly.</w:t>
            </w:r>
          </w:p>
          <w:p w14:paraId="079CB482" w14:textId="77777777" w:rsidR="009A5E81" w:rsidRPr="005C0F32" w:rsidRDefault="009A5E81" w:rsidP="009A5E81">
            <w:pPr>
              <w:rPr>
                <w:rFonts w:ascii="Times New Roman" w:eastAsia="Times New Roman" w:hAnsi="Times New Roman" w:cs="Times New Roman"/>
                <w:b/>
                <w:bCs/>
                <w:color w:val="000000"/>
                <w:sz w:val="24"/>
                <w:szCs w:val="24"/>
                <w:lang w:val="en-US"/>
              </w:rPr>
            </w:pPr>
          </w:p>
        </w:tc>
        <w:tc>
          <w:tcPr>
            <w:tcW w:w="3282" w:type="dxa"/>
          </w:tcPr>
          <w:p w14:paraId="1E9B3B07" w14:textId="77777777" w:rsidR="000445D6" w:rsidRDefault="00CC4D99" w:rsidP="000445D6">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Arvestatud</w:t>
            </w:r>
          </w:p>
          <w:p w14:paraId="21C5A6A3" w14:textId="049FF40B" w:rsidR="00CC4D99" w:rsidRPr="000445D6" w:rsidRDefault="4130EA68" w:rsidP="000445D6">
            <w:pPr>
              <w:pStyle w:val="Loendilik"/>
              <w:ind w:left="-23"/>
              <w:jc w:val="both"/>
              <w:rPr>
                <w:rFonts w:ascii="Times New Roman" w:eastAsia="Calibri" w:hAnsi="Times New Roman" w:cs="Times New Roman"/>
                <w:b/>
                <w:bCs/>
                <w:sz w:val="24"/>
                <w:szCs w:val="24"/>
              </w:rPr>
            </w:pPr>
            <w:r w:rsidRPr="000445D6">
              <w:rPr>
                <w:rFonts w:ascii="Times New Roman" w:eastAsia="Calibri" w:hAnsi="Times New Roman" w:cs="Times New Roman"/>
                <w:sz w:val="24"/>
                <w:szCs w:val="24"/>
              </w:rPr>
              <w:t>Oleme täiendanud/muutnud ELTS eelnõu §-</w:t>
            </w:r>
            <w:r w:rsidR="000445D6">
              <w:rPr>
                <w:rFonts w:ascii="Times New Roman" w:eastAsia="Calibri" w:hAnsi="Times New Roman" w:cs="Times New Roman"/>
                <w:sz w:val="24"/>
                <w:szCs w:val="24"/>
              </w:rPr>
              <w:t>de</w:t>
            </w:r>
            <w:r w:rsidRPr="000445D6">
              <w:rPr>
                <w:rFonts w:ascii="Times New Roman" w:eastAsia="Calibri" w:hAnsi="Times New Roman" w:cs="Times New Roman"/>
                <w:sz w:val="24"/>
                <w:szCs w:val="24"/>
              </w:rPr>
              <w:t xml:space="preserve"> 59</w:t>
            </w:r>
            <w:r w:rsidR="000445D6">
              <w:rPr>
                <w:rFonts w:ascii="Times New Roman" w:eastAsia="Calibri" w:hAnsi="Times New Roman" w:cs="Times New Roman"/>
                <w:sz w:val="24"/>
                <w:szCs w:val="24"/>
                <w:vertAlign w:val="superscript"/>
              </w:rPr>
              <w:t>4</w:t>
            </w:r>
            <w:r w:rsidRPr="000445D6">
              <w:rPr>
                <w:rFonts w:ascii="Times New Roman" w:eastAsia="Calibri" w:hAnsi="Times New Roman" w:cs="Times New Roman"/>
                <w:sz w:val="24"/>
                <w:szCs w:val="24"/>
              </w:rPr>
              <w:t xml:space="preserve"> lõikeid 11</w:t>
            </w:r>
            <w:r w:rsidR="000445D6">
              <w:rPr>
                <w:rFonts w:ascii="Times New Roman" w:eastAsia="Calibri" w:hAnsi="Times New Roman" w:cs="Times New Roman"/>
                <w:sz w:val="24"/>
                <w:szCs w:val="24"/>
                <w:vertAlign w:val="superscript"/>
              </w:rPr>
              <w:t>1</w:t>
            </w:r>
            <w:r w:rsidRPr="000445D6">
              <w:rPr>
                <w:rFonts w:ascii="Times New Roman" w:eastAsia="Calibri" w:hAnsi="Times New Roman" w:cs="Times New Roman"/>
                <w:sz w:val="24"/>
                <w:szCs w:val="24"/>
              </w:rPr>
              <w:t xml:space="preserve"> ja 11</w:t>
            </w:r>
            <w:r w:rsidR="000445D6">
              <w:rPr>
                <w:rFonts w:ascii="Times New Roman" w:eastAsia="Calibri" w:hAnsi="Times New Roman" w:cs="Times New Roman"/>
                <w:sz w:val="24"/>
                <w:szCs w:val="24"/>
                <w:vertAlign w:val="superscript"/>
              </w:rPr>
              <w:t>2</w:t>
            </w:r>
            <w:r w:rsidRPr="000445D6">
              <w:rPr>
                <w:rFonts w:ascii="Times New Roman" w:eastAsia="Calibri" w:hAnsi="Times New Roman" w:cs="Times New Roman"/>
                <w:sz w:val="24"/>
                <w:szCs w:val="24"/>
              </w:rPr>
              <w:t xml:space="preserve"> , ELTS § 59</w:t>
            </w:r>
            <w:r w:rsidR="000445D6">
              <w:rPr>
                <w:rFonts w:ascii="Times New Roman" w:eastAsia="Calibri" w:hAnsi="Times New Roman" w:cs="Times New Roman"/>
                <w:sz w:val="24"/>
                <w:szCs w:val="24"/>
                <w:vertAlign w:val="superscript"/>
              </w:rPr>
              <w:t>4</w:t>
            </w:r>
            <w:r w:rsidRPr="000445D6">
              <w:rPr>
                <w:rFonts w:ascii="Times New Roman" w:eastAsia="Calibri" w:hAnsi="Times New Roman" w:cs="Times New Roman"/>
                <w:sz w:val="24"/>
                <w:szCs w:val="24"/>
              </w:rPr>
              <w:t xml:space="preserve"> lg 4 p 1 sõnastust.</w:t>
            </w:r>
          </w:p>
        </w:tc>
      </w:tr>
      <w:tr w:rsidR="009A5E81" w:rsidRPr="005C0F32" w14:paraId="5661F81B" w14:textId="77777777" w:rsidTr="3199B330">
        <w:trPr>
          <w:trHeight w:val="300"/>
        </w:trPr>
        <w:tc>
          <w:tcPr>
            <w:tcW w:w="10710" w:type="dxa"/>
          </w:tcPr>
          <w:p w14:paraId="2E9E947F" w14:textId="77777777" w:rsidR="009A5E81" w:rsidRPr="005C0F32" w:rsidRDefault="009A5E81" w:rsidP="00F11797">
            <w:pPr>
              <w:pStyle w:val="Loendilik"/>
              <w:numPr>
                <w:ilvl w:val="1"/>
                <w:numId w:val="7"/>
              </w:numPr>
              <w:ind w:left="284" w:firstLine="0"/>
              <w:rPr>
                <w:rFonts w:ascii="Times New Roman" w:eastAsia="Times New Roman" w:hAnsi="Times New Roman" w:cs="Times New Roman"/>
                <w:b/>
                <w:bCs/>
                <w:color w:val="000000"/>
                <w:sz w:val="24"/>
                <w:szCs w:val="24"/>
                <w:lang w:val="en-US"/>
              </w:rPr>
            </w:pPr>
            <w:r w:rsidRPr="005C0F32">
              <w:rPr>
                <w:rFonts w:ascii="Times New Roman" w:eastAsia="Times New Roman" w:hAnsi="Times New Roman" w:cs="Times New Roman"/>
                <w:b/>
                <w:bCs/>
                <w:color w:val="000000"/>
                <w:sz w:val="24"/>
                <w:szCs w:val="24"/>
                <w:lang w:val="en-US"/>
              </w:rPr>
              <w:t>Submission of bids by mid-2025</w:t>
            </w:r>
          </w:p>
          <w:p w14:paraId="49C56712" w14:textId="77777777" w:rsidR="009A5E81" w:rsidRPr="005C0F32" w:rsidRDefault="009A5E81" w:rsidP="00F024B2">
            <w:pPr>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We note that a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auction bid in mid-2025 will limit the projects’ ability to base their business cases on survey data. This poses substantial risks to the viability of the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results and will have two key negative implications: </w:t>
            </w:r>
          </w:p>
          <w:p w14:paraId="351001A5"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p>
          <w:p w14:paraId="421BE431"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1. There is higher uncertainty created by imperfect or lacking information, that will be reflected in a higher “risk premium” being added into the bids, i.e. strike prices will be higher.</w:t>
            </w:r>
          </w:p>
          <w:p w14:paraId="430E100E"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lastRenderedPageBreak/>
              <w:t xml:space="preserve">2. Following the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tender, there may be negative “surprises” </w:t>
            </w:r>
            <w:proofErr w:type="gramStart"/>
            <w:r w:rsidRPr="005C0F32">
              <w:rPr>
                <w:rFonts w:ascii="Times New Roman" w:eastAsia="Times New Roman" w:hAnsi="Times New Roman" w:cs="Times New Roman"/>
                <w:color w:val="000000"/>
                <w:sz w:val="24"/>
                <w:szCs w:val="24"/>
                <w:lang w:val="en-US"/>
              </w:rPr>
              <w:t>as a result of</w:t>
            </w:r>
            <w:proofErr w:type="gramEnd"/>
            <w:r w:rsidRPr="005C0F32">
              <w:rPr>
                <w:rFonts w:ascii="Times New Roman" w:eastAsia="Times New Roman" w:hAnsi="Times New Roman" w:cs="Times New Roman"/>
                <w:color w:val="000000"/>
                <w:sz w:val="24"/>
                <w:szCs w:val="24"/>
                <w:lang w:val="en-US"/>
              </w:rPr>
              <w:t xml:space="preserve"> this lacking or imperfect information. For example, regarding site conditions, it may be discovered that there is bedrock or mud layers that could destroy the business case. Thus, the government will have a winner of the auction, but the project will never be built. </w:t>
            </w:r>
          </w:p>
          <w:p w14:paraId="0D8AC447" w14:textId="77777777"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p>
          <w:p w14:paraId="4B4C259E" w14:textId="1B48C470" w:rsidR="009A5E81" w:rsidRPr="005C0F32" w:rsidRDefault="009A5E81" w:rsidP="009A5E81">
            <w:pPr>
              <w:pStyle w:val="Loendilik"/>
              <w:ind w:left="284"/>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 xml:space="preserve">We suggest the government to consider delaying the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tender (at least to the end of 2025), to ensure that bidders are submitting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bids that are well-informed or ensure that commitments by the auction’s participants reflect the early development phase of the projects. For example, an option could be to carry out pre-qualification in mid-2025, but the bid submission as late as possible in 2025. Please note that delaying the </w:t>
            </w:r>
            <w:proofErr w:type="spellStart"/>
            <w:r w:rsidRPr="005C0F32">
              <w:rPr>
                <w:rFonts w:ascii="Times New Roman" w:eastAsia="Times New Roman" w:hAnsi="Times New Roman" w:cs="Times New Roman"/>
                <w:color w:val="000000"/>
                <w:sz w:val="24"/>
                <w:szCs w:val="24"/>
                <w:lang w:val="en-US"/>
              </w:rPr>
              <w:t>CfD</w:t>
            </w:r>
            <w:proofErr w:type="spellEnd"/>
            <w:r w:rsidRPr="005C0F32">
              <w:rPr>
                <w:rFonts w:ascii="Times New Roman" w:eastAsia="Times New Roman" w:hAnsi="Times New Roman" w:cs="Times New Roman"/>
                <w:color w:val="000000"/>
                <w:sz w:val="24"/>
                <w:szCs w:val="24"/>
                <w:lang w:val="en-US"/>
              </w:rPr>
              <w:t xml:space="preserve"> tender will not impact the COD date of the project.</w:t>
            </w:r>
          </w:p>
        </w:tc>
        <w:tc>
          <w:tcPr>
            <w:tcW w:w="3282" w:type="dxa"/>
          </w:tcPr>
          <w:p w14:paraId="0ECC3FEB" w14:textId="6A102A44" w:rsidR="00317338" w:rsidRPr="00797EDC" w:rsidRDefault="00D94F69"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Mittearvestatud</w:t>
            </w:r>
          </w:p>
          <w:p w14:paraId="434C04D3" w14:textId="1F3818B9" w:rsidR="009A5E81" w:rsidRPr="000445D6" w:rsidRDefault="00D94F69" w:rsidP="000445D6">
            <w:pPr>
              <w:jc w:val="both"/>
              <w:rPr>
                <w:rFonts w:ascii="Times New Roman" w:eastAsia="Calibri" w:hAnsi="Times New Roman" w:cs="Times New Roman"/>
                <w:sz w:val="24"/>
                <w:szCs w:val="24"/>
              </w:rPr>
            </w:pPr>
            <w:r w:rsidRPr="000445D6">
              <w:rPr>
                <w:rFonts w:ascii="Times New Roman" w:eastAsia="Calibri" w:hAnsi="Times New Roman" w:cs="Times New Roman"/>
                <w:sz w:val="24"/>
                <w:szCs w:val="24"/>
              </w:rPr>
              <w:t>Otsus</w:t>
            </w:r>
            <w:r w:rsidR="001A3BB1" w:rsidRPr="000445D6">
              <w:rPr>
                <w:rFonts w:ascii="Times New Roman" w:eastAsia="Calibri" w:hAnsi="Times New Roman" w:cs="Times New Roman"/>
                <w:sz w:val="24"/>
                <w:szCs w:val="24"/>
              </w:rPr>
              <w:t xml:space="preserve">te tähtajad on seotud </w:t>
            </w:r>
            <w:r w:rsidR="0071588E">
              <w:rPr>
                <w:rFonts w:ascii="Times New Roman" w:eastAsia="Calibri" w:hAnsi="Times New Roman" w:cs="Times New Roman"/>
                <w:sz w:val="24"/>
                <w:szCs w:val="24"/>
              </w:rPr>
              <w:t>e</w:t>
            </w:r>
            <w:r w:rsidR="00065C58" w:rsidRPr="000445D6">
              <w:rPr>
                <w:rFonts w:ascii="Times New Roman" w:eastAsia="Calibri" w:hAnsi="Times New Roman" w:cs="Times New Roman"/>
                <w:sz w:val="24"/>
                <w:szCs w:val="24"/>
              </w:rPr>
              <w:t xml:space="preserve">rakorralise </w:t>
            </w:r>
            <w:r w:rsidR="0071588E">
              <w:rPr>
                <w:rFonts w:ascii="Times New Roman" w:eastAsia="Calibri" w:hAnsi="Times New Roman" w:cs="Times New Roman"/>
                <w:sz w:val="24"/>
                <w:szCs w:val="24"/>
              </w:rPr>
              <w:t>k</w:t>
            </w:r>
            <w:r w:rsidR="006234CE" w:rsidRPr="000445D6">
              <w:rPr>
                <w:rFonts w:ascii="Times New Roman" w:eastAsia="Calibri" w:hAnsi="Times New Roman" w:cs="Times New Roman"/>
                <w:sz w:val="24"/>
                <w:szCs w:val="24"/>
              </w:rPr>
              <w:t xml:space="preserve">riisi </w:t>
            </w:r>
            <w:r w:rsidR="0071588E">
              <w:rPr>
                <w:rFonts w:ascii="Times New Roman" w:eastAsia="Calibri" w:hAnsi="Times New Roman" w:cs="Times New Roman"/>
                <w:sz w:val="24"/>
                <w:szCs w:val="24"/>
              </w:rPr>
              <w:t>r</w:t>
            </w:r>
            <w:r w:rsidR="00065C58" w:rsidRPr="000445D6">
              <w:rPr>
                <w:rFonts w:ascii="Times New Roman" w:eastAsia="Calibri" w:hAnsi="Times New Roman" w:cs="Times New Roman"/>
                <w:sz w:val="24"/>
                <w:szCs w:val="24"/>
              </w:rPr>
              <w:t xml:space="preserve">iigiabi </w:t>
            </w:r>
            <w:r w:rsidR="006234CE" w:rsidRPr="000445D6">
              <w:rPr>
                <w:rFonts w:ascii="Times New Roman" w:eastAsia="Calibri" w:hAnsi="Times New Roman" w:cs="Times New Roman"/>
                <w:sz w:val="24"/>
                <w:szCs w:val="24"/>
              </w:rPr>
              <w:t>raamistiku</w:t>
            </w:r>
            <w:r w:rsidR="001A3BB1" w:rsidRPr="000445D6">
              <w:rPr>
                <w:rFonts w:ascii="Times New Roman" w:eastAsia="Calibri" w:hAnsi="Times New Roman" w:cs="Times New Roman"/>
                <w:sz w:val="24"/>
                <w:szCs w:val="24"/>
              </w:rPr>
              <w:t>ga</w:t>
            </w:r>
            <w:r w:rsidR="0071588E">
              <w:rPr>
                <w:rFonts w:ascii="Times New Roman" w:eastAsia="Calibri" w:hAnsi="Times New Roman" w:cs="Times New Roman"/>
                <w:sz w:val="24"/>
                <w:szCs w:val="24"/>
              </w:rPr>
              <w:t xml:space="preserve"> (</w:t>
            </w:r>
            <w:proofErr w:type="spellStart"/>
            <w:r w:rsidR="0071588E">
              <w:rPr>
                <w:rFonts w:ascii="Times New Roman" w:eastAsia="Calibri" w:hAnsi="Times New Roman" w:cs="Times New Roman"/>
                <w:sz w:val="24"/>
                <w:szCs w:val="24"/>
              </w:rPr>
              <w:t>Temporary</w:t>
            </w:r>
            <w:proofErr w:type="spellEnd"/>
            <w:r w:rsidR="0071588E">
              <w:rPr>
                <w:rFonts w:ascii="Times New Roman" w:eastAsia="Calibri" w:hAnsi="Times New Roman" w:cs="Times New Roman"/>
                <w:sz w:val="24"/>
                <w:szCs w:val="24"/>
              </w:rPr>
              <w:t xml:space="preserve"> </w:t>
            </w:r>
            <w:proofErr w:type="spellStart"/>
            <w:r w:rsidR="0071588E">
              <w:rPr>
                <w:rFonts w:ascii="Times New Roman" w:eastAsia="Calibri" w:hAnsi="Times New Roman" w:cs="Times New Roman"/>
                <w:sz w:val="24"/>
                <w:szCs w:val="24"/>
              </w:rPr>
              <w:t>Crisis</w:t>
            </w:r>
            <w:proofErr w:type="spellEnd"/>
            <w:r w:rsidR="0071588E">
              <w:rPr>
                <w:rFonts w:ascii="Times New Roman" w:eastAsia="Calibri" w:hAnsi="Times New Roman" w:cs="Times New Roman"/>
                <w:sz w:val="24"/>
                <w:szCs w:val="24"/>
              </w:rPr>
              <w:t xml:space="preserve"> and </w:t>
            </w:r>
            <w:proofErr w:type="spellStart"/>
            <w:r w:rsidR="0071588E">
              <w:rPr>
                <w:rFonts w:ascii="Times New Roman" w:eastAsia="Calibri" w:hAnsi="Times New Roman" w:cs="Times New Roman"/>
                <w:sz w:val="24"/>
                <w:szCs w:val="24"/>
              </w:rPr>
              <w:t>Transition</w:t>
            </w:r>
            <w:proofErr w:type="spellEnd"/>
            <w:r w:rsidR="0071588E">
              <w:rPr>
                <w:rFonts w:ascii="Times New Roman" w:eastAsia="Calibri" w:hAnsi="Times New Roman" w:cs="Times New Roman"/>
                <w:sz w:val="24"/>
                <w:szCs w:val="24"/>
              </w:rPr>
              <w:t xml:space="preserve"> </w:t>
            </w:r>
            <w:proofErr w:type="spellStart"/>
            <w:r w:rsidR="0071588E">
              <w:rPr>
                <w:rFonts w:ascii="Times New Roman" w:eastAsia="Calibri" w:hAnsi="Times New Roman" w:cs="Times New Roman"/>
                <w:sz w:val="24"/>
                <w:szCs w:val="24"/>
              </w:rPr>
              <w:t>Framework</w:t>
            </w:r>
            <w:proofErr w:type="spellEnd"/>
            <w:r w:rsidR="0071588E">
              <w:rPr>
                <w:rFonts w:ascii="Times New Roman" w:eastAsia="Calibri" w:hAnsi="Times New Roman" w:cs="Times New Roman"/>
                <w:sz w:val="24"/>
                <w:szCs w:val="24"/>
              </w:rPr>
              <w:t>)</w:t>
            </w:r>
            <w:r w:rsidR="001A3BB1" w:rsidRPr="000445D6">
              <w:rPr>
                <w:rFonts w:ascii="Times New Roman" w:eastAsia="Calibri" w:hAnsi="Times New Roman" w:cs="Times New Roman"/>
                <w:sz w:val="24"/>
                <w:szCs w:val="24"/>
              </w:rPr>
              <w:t>. Sellest tulenevalt tuleb otsused langetada enne 2025 lõppu.</w:t>
            </w:r>
          </w:p>
        </w:tc>
      </w:tr>
      <w:tr w:rsidR="009A5E81" w:rsidRPr="005C0F32" w14:paraId="513EF027" w14:textId="77777777" w:rsidTr="3199B330">
        <w:trPr>
          <w:trHeight w:val="300"/>
        </w:trPr>
        <w:tc>
          <w:tcPr>
            <w:tcW w:w="10710" w:type="dxa"/>
          </w:tcPr>
          <w:p w14:paraId="08DE7395" w14:textId="77777777" w:rsidR="009A5E81" w:rsidRPr="005C0F32" w:rsidRDefault="009A5E81" w:rsidP="00F11797">
            <w:pPr>
              <w:pStyle w:val="Loendilik"/>
              <w:numPr>
                <w:ilvl w:val="1"/>
                <w:numId w:val="7"/>
              </w:numPr>
              <w:ind w:left="284" w:firstLine="0"/>
              <w:rPr>
                <w:rFonts w:ascii="Times New Roman" w:eastAsia="Times New Roman" w:hAnsi="Times New Roman" w:cs="Times New Roman"/>
                <w:b/>
                <w:bCs/>
                <w:color w:val="000000"/>
                <w:sz w:val="24"/>
                <w:szCs w:val="24"/>
                <w:lang w:val="en-US"/>
              </w:rPr>
            </w:pPr>
            <w:r w:rsidRPr="005C0F32">
              <w:rPr>
                <w:rFonts w:ascii="Times New Roman" w:eastAsia="Times New Roman" w:hAnsi="Times New Roman" w:cs="Times New Roman"/>
                <w:b/>
                <w:bCs/>
                <w:color w:val="000000"/>
                <w:sz w:val="24"/>
                <w:szCs w:val="24"/>
                <w:lang w:val="en-US"/>
              </w:rPr>
              <w:t>Balancing service operational start</w:t>
            </w:r>
          </w:p>
          <w:p w14:paraId="59E7D97D" w14:textId="296895AB" w:rsidR="009A5E81" w:rsidRPr="005C0F32" w:rsidRDefault="009A5E81" w:rsidP="00F024B2">
            <w:pPr>
              <w:jc w:val="both"/>
              <w:rPr>
                <w:rFonts w:ascii="Times New Roman" w:eastAsia="Times New Roman" w:hAnsi="Times New Roman" w:cs="Times New Roman"/>
                <w:color w:val="000000"/>
                <w:sz w:val="24"/>
                <w:szCs w:val="24"/>
                <w:lang w:val="en-US"/>
              </w:rPr>
            </w:pPr>
            <w:r w:rsidRPr="005C0F32">
              <w:rPr>
                <w:rFonts w:ascii="Times New Roman" w:eastAsia="Times New Roman" w:hAnsi="Times New Roman" w:cs="Times New Roman"/>
                <w:color w:val="000000"/>
                <w:sz w:val="24"/>
                <w:szCs w:val="24"/>
                <w:lang w:val="en-US"/>
              </w:rPr>
              <w:t>The current proposal limits the balancing capacity timing to only one year before the completion of the offshore wind farm. Since storage has a much shorter development timeline than offshore wind farm, we propose the producer to have the flexibility to procure storage either earlier than 1 year prior to COD or later than the COD of the offshore wind farm. This approach would allow to count for technological advancements, cost reductions in storage technologies and specific market needs.</w:t>
            </w:r>
          </w:p>
        </w:tc>
        <w:tc>
          <w:tcPr>
            <w:tcW w:w="3282" w:type="dxa"/>
          </w:tcPr>
          <w:p w14:paraId="4E87E75B" w14:textId="77777777" w:rsidR="0066044E" w:rsidRDefault="0066044E" w:rsidP="1FD60553">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Arvestatud osaliselt</w:t>
            </w:r>
          </w:p>
          <w:p w14:paraId="434CEF3D" w14:textId="504D307B" w:rsidR="001E4E10" w:rsidRPr="0066044E" w:rsidRDefault="001E4E10" w:rsidP="0066044E">
            <w:pPr>
              <w:pStyle w:val="Loendilik"/>
              <w:ind w:left="-23"/>
              <w:jc w:val="both"/>
              <w:rPr>
                <w:rFonts w:ascii="Times New Roman" w:eastAsia="Calibri" w:hAnsi="Times New Roman" w:cs="Times New Roman"/>
                <w:b/>
                <w:bCs/>
                <w:sz w:val="24"/>
                <w:szCs w:val="24"/>
              </w:rPr>
            </w:pPr>
            <w:r w:rsidRPr="00797EDC">
              <w:rPr>
                <w:rFonts w:ascii="Times New Roman" w:eastAsia="Times New Roman" w:hAnsi="Times New Roman" w:cs="Times New Roman"/>
                <w:sz w:val="24"/>
                <w:szCs w:val="24"/>
                <w:lang w:eastAsia="et-EE"/>
              </w:rPr>
              <w:t>Tasakaalustamisteenuse toomine turule tootmisvõimsuse lisandumisega samal ajal tagab ergutava mõju olemasolu, mis on riigiabi loa eelduseks ning aitab tasandada taastuvenergia tootmisest tingitud bilansikõikumisi.</w:t>
            </w:r>
          </w:p>
          <w:p w14:paraId="2E8F79C3" w14:textId="3A51B750" w:rsidR="001E4E10" w:rsidRPr="00797EDC" w:rsidRDefault="006542BD" w:rsidP="001E4E10">
            <w:pPr>
              <w:spacing w:before="100" w:beforeAutospacing="1" w:after="100" w:afterAutospacing="1"/>
              <w:jc w:val="both"/>
              <w:rPr>
                <w:rFonts w:ascii="Times New Roman" w:eastAsia="Times New Roman" w:hAnsi="Times New Roman" w:cs="Times New Roman"/>
                <w:sz w:val="24"/>
                <w:szCs w:val="24"/>
                <w:lang w:eastAsia="et-EE"/>
              </w:rPr>
            </w:pPr>
            <w:r w:rsidRPr="00797EDC">
              <w:rPr>
                <w:rFonts w:ascii="Times New Roman" w:eastAsia="Times New Roman" w:hAnsi="Times New Roman" w:cs="Times New Roman"/>
                <w:sz w:val="24"/>
                <w:szCs w:val="24"/>
                <w:lang w:eastAsia="et-EE"/>
              </w:rPr>
              <w:t>Eelnõu</w:t>
            </w:r>
            <w:r w:rsidR="001E4E10" w:rsidRPr="00797EDC">
              <w:rPr>
                <w:rFonts w:ascii="Times New Roman" w:eastAsia="Times New Roman" w:hAnsi="Times New Roman" w:cs="Times New Roman"/>
                <w:sz w:val="24"/>
                <w:szCs w:val="24"/>
                <w:lang w:eastAsia="et-EE"/>
              </w:rPr>
              <w:t xml:space="preserve"> § 59</w:t>
            </w:r>
            <w:r w:rsidR="000445D6">
              <w:rPr>
                <w:rFonts w:ascii="Times New Roman" w:eastAsia="Times New Roman" w:hAnsi="Times New Roman" w:cs="Times New Roman"/>
                <w:sz w:val="24"/>
                <w:szCs w:val="24"/>
                <w:vertAlign w:val="superscript"/>
                <w:lang w:eastAsia="et-EE"/>
              </w:rPr>
              <w:t>10</w:t>
            </w:r>
            <w:r w:rsidR="001E4E10" w:rsidRPr="00797EDC">
              <w:rPr>
                <w:rFonts w:ascii="Times New Roman" w:eastAsia="Times New Roman" w:hAnsi="Times New Roman" w:cs="Times New Roman"/>
                <w:sz w:val="24"/>
                <w:szCs w:val="24"/>
                <w:lang w:eastAsia="et-EE"/>
              </w:rPr>
              <w:t xml:space="preserve"> lg 17</w:t>
            </w:r>
            <w:r w:rsidR="6F1AA050" w:rsidRPr="013F8064">
              <w:rPr>
                <w:rFonts w:ascii="Times New Roman" w:eastAsia="Times New Roman" w:hAnsi="Times New Roman" w:cs="Times New Roman"/>
                <w:sz w:val="24"/>
                <w:szCs w:val="24"/>
                <w:lang w:eastAsia="et-EE"/>
              </w:rPr>
              <w:t xml:space="preserve">, </w:t>
            </w:r>
            <w:r w:rsidR="0066044E">
              <w:rPr>
                <w:rFonts w:ascii="Times New Roman" w:eastAsia="Times New Roman" w:hAnsi="Times New Roman" w:cs="Times New Roman"/>
                <w:sz w:val="24"/>
                <w:szCs w:val="24"/>
                <w:lang w:eastAsia="et-EE"/>
              </w:rPr>
              <w:t>(</w:t>
            </w:r>
            <w:r w:rsidR="6F1AA050" w:rsidRPr="013F8064">
              <w:rPr>
                <w:rFonts w:ascii="Times New Roman" w:eastAsia="Times New Roman" w:hAnsi="Times New Roman" w:cs="Times New Roman"/>
                <w:sz w:val="24"/>
                <w:szCs w:val="24"/>
                <w:lang w:eastAsia="et-EE"/>
              </w:rPr>
              <w:t>muudetud eelnõu § 59</w:t>
            </w:r>
            <w:r w:rsidR="000445D6">
              <w:rPr>
                <w:rFonts w:ascii="Times New Roman" w:eastAsia="Times New Roman" w:hAnsi="Times New Roman" w:cs="Times New Roman"/>
                <w:sz w:val="24"/>
                <w:szCs w:val="24"/>
                <w:vertAlign w:val="superscript"/>
                <w:lang w:eastAsia="et-EE"/>
              </w:rPr>
              <w:t>11</w:t>
            </w:r>
            <w:r w:rsidR="2E198671" w:rsidRPr="013F8064">
              <w:rPr>
                <w:rFonts w:ascii="Times New Roman" w:eastAsia="Times New Roman" w:hAnsi="Times New Roman" w:cs="Times New Roman"/>
                <w:sz w:val="24"/>
                <w:szCs w:val="24"/>
                <w:lang w:eastAsia="et-EE"/>
              </w:rPr>
              <w:t xml:space="preserve"> lg 7</w:t>
            </w:r>
            <w:r w:rsidR="0066044E">
              <w:rPr>
                <w:rFonts w:ascii="Times New Roman" w:eastAsia="Times New Roman" w:hAnsi="Times New Roman" w:cs="Times New Roman"/>
                <w:sz w:val="24"/>
                <w:szCs w:val="24"/>
                <w:lang w:eastAsia="et-EE"/>
              </w:rPr>
              <w:t>)</w:t>
            </w:r>
            <w:r w:rsidR="2E198671" w:rsidRPr="013F8064">
              <w:rPr>
                <w:rFonts w:ascii="Times New Roman" w:eastAsia="Times New Roman" w:hAnsi="Times New Roman" w:cs="Times New Roman"/>
                <w:sz w:val="24"/>
                <w:szCs w:val="24"/>
                <w:lang w:eastAsia="et-EE"/>
              </w:rPr>
              <w:t xml:space="preserve"> </w:t>
            </w:r>
            <w:r w:rsidRPr="00797EDC">
              <w:rPr>
                <w:rFonts w:ascii="Times New Roman" w:eastAsia="Times New Roman" w:hAnsi="Times New Roman" w:cs="Times New Roman"/>
                <w:sz w:val="24"/>
                <w:szCs w:val="24"/>
                <w:lang w:eastAsia="et-EE"/>
              </w:rPr>
              <w:t>sätesta</w:t>
            </w:r>
            <w:r w:rsidR="0019559F" w:rsidRPr="00797EDC">
              <w:rPr>
                <w:rFonts w:ascii="Times New Roman" w:eastAsia="Times New Roman" w:hAnsi="Times New Roman" w:cs="Times New Roman"/>
                <w:sz w:val="24"/>
                <w:szCs w:val="24"/>
                <w:lang w:eastAsia="et-EE"/>
              </w:rPr>
              <w:t>takse, et vähempakkumise läbiviija kontrolli</w:t>
            </w:r>
            <w:r w:rsidR="00610EA0" w:rsidRPr="00797EDC">
              <w:rPr>
                <w:rFonts w:ascii="Times New Roman" w:eastAsia="Times New Roman" w:hAnsi="Times New Roman" w:cs="Times New Roman"/>
                <w:sz w:val="24"/>
                <w:szCs w:val="24"/>
                <w:lang w:eastAsia="et-EE"/>
              </w:rPr>
              <w:t>b</w:t>
            </w:r>
            <w:r w:rsidR="0019559F" w:rsidRPr="00797EDC">
              <w:rPr>
                <w:rFonts w:ascii="Times New Roman" w:eastAsia="Times New Roman" w:hAnsi="Times New Roman" w:cs="Times New Roman"/>
                <w:sz w:val="24"/>
                <w:szCs w:val="24"/>
                <w:lang w:eastAsia="et-EE"/>
              </w:rPr>
              <w:t xml:space="preserve"> tasakaalustamisteenuse </w:t>
            </w:r>
            <w:r w:rsidR="00610EA0" w:rsidRPr="00797EDC">
              <w:rPr>
                <w:rFonts w:ascii="Times New Roman" w:eastAsia="Times New Roman" w:hAnsi="Times New Roman" w:cs="Times New Roman"/>
                <w:sz w:val="24"/>
                <w:szCs w:val="24"/>
                <w:lang w:eastAsia="et-EE"/>
              </w:rPr>
              <w:t xml:space="preserve">pakkumise täitmist 12 kuud pärast </w:t>
            </w:r>
            <w:r w:rsidR="009A6425" w:rsidRPr="00797EDC">
              <w:rPr>
                <w:rFonts w:ascii="Times New Roman" w:eastAsia="Times New Roman" w:hAnsi="Times New Roman" w:cs="Times New Roman"/>
                <w:sz w:val="24"/>
                <w:szCs w:val="24"/>
                <w:lang w:eastAsia="et-EE"/>
              </w:rPr>
              <w:t>elektritootmise alustamist. See ei välista tasakaalustamisteenuse varasemat alustamist</w:t>
            </w:r>
            <w:r w:rsidR="001E4E10" w:rsidRPr="00797EDC">
              <w:rPr>
                <w:rFonts w:ascii="Times New Roman" w:eastAsia="Times New Roman" w:hAnsi="Times New Roman" w:cs="Times New Roman"/>
                <w:sz w:val="24"/>
                <w:szCs w:val="24"/>
                <w:lang w:eastAsia="et-EE"/>
              </w:rPr>
              <w:t>.</w:t>
            </w:r>
          </w:p>
        </w:tc>
      </w:tr>
      <w:tr w:rsidR="007F4F0D" w:rsidRPr="005C0F32" w14:paraId="293C8D67" w14:textId="77777777" w:rsidTr="3199B330">
        <w:trPr>
          <w:trHeight w:val="300"/>
        </w:trPr>
        <w:tc>
          <w:tcPr>
            <w:tcW w:w="10710" w:type="dxa"/>
          </w:tcPr>
          <w:p w14:paraId="3D942F70" w14:textId="7E235A6E" w:rsidR="007F4F0D" w:rsidRPr="005C0F32" w:rsidRDefault="007F4F0D" w:rsidP="007F4F0D">
            <w:pPr>
              <w:rPr>
                <w:rFonts w:ascii="Times New Roman" w:eastAsia="Times New Roman" w:hAnsi="Times New Roman" w:cs="Times New Roman"/>
                <w:b/>
                <w:bCs/>
                <w:color w:val="000000"/>
                <w:sz w:val="24"/>
                <w:szCs w:val="24"/>
                <w:lang w:val="en-US"/>
              </w:rPr>
            </w:pPr>
            <w:r w:rsidRPr="007175AE">
              <w:rPr>
                <w:rFonts w:ascii="Times New Roman" w:eastAsia="Times New Roman" w:hAnsi="Times New Roman" w:cs="Times New Roman"/>
                <w:b/>
                <w:bCs/>
                <w:color w:val="000000"/>
                <w:sz w:val="24"/>
                <w:szCs w:val="24"/>
                <w:highlight w:val="cyan"/>
                <w:lang w:val="en-US"/>
              </w:rPr>
              <w:t>Saare Wind Energy</w:t>
            </w:r>
          </w:p>
        </w:tc>
        <w:tc>
          <w:tcPr>
            <w:tcW w:w="3282" w:type="dxa"/>
          </w:tcPr>
          <w:p w14:paraId="78ECA32A" w14:textId="77777777" w:rsidR="007F4F0D" w:rsidRPr="00797EDC" w:rsidRDefault="007F4F0D" w:rsidP="1FD60553">
            <w:pPr>
              <w:pStyle w:val="Loendilik"/>
              <w:ind w:left="-23"/>
              <w:jc w:val="both"/>
              <w:rPr>
                <w:rFonts w:ascii="Times New Roman" w:eastAsia="Calibri" w:hAnsi="Times New Roman" w:cs="Times New Roman"/>
                <w:b/>
                <w:bCs/>
                <w:sz w:val="24"/>
                <w:szCs w:val="24"/>
              </w:rPr>
            </w:pPr>
          </w:p>
        </w:tc>
      </w:tr>
      <w:tr w:rsidR="007F4F0D" w:rsidRPr="005C0F32" w14:paraId="390CD739" w14:textId="77777777" w:rsidTr="3199B330">
        <w:trPr>
          <w:trHeight w:val="300"/>
        </w:trPr>
        <w:tc>
          <w:tcPr>
            <w:tcW w:w="10710" w:type="dxa"/>
          </w:tcPr>
          <w:p w14:paraId="12D41AFB" w14:textId="77777777" w:rsidR="007F4F0D" w:rsidRPr="005C0F32" w:rsidRDefault="007F4F0D" w:rsidP="007F4F0D">
            <w:pPr>
              <w:rPr>
                <w:rFonts w:ascii="Times New Roman" w:hAnsi="Times New Roman" w:cs="Times New Roman"/>
                <w:sz w:val="24"/>
                <w:szCs w:val="24"/>
              </w:rPr>
            </w:pPr>
            <w:r w:rsidRPr="005C0F32">
              <w:rPr>
                <w:rFonts w:ascii="Times New Roman" w:hAnsi="Times New Roman" w:cs="Times New Roman"/>
                <w:sz w:val="24"/>
                <w:szCs w:val="24"/>
              </w:rPr>
              <w:t xml:space="preserve">Esitame Saare Wind Energy arvamuse 6.09.2024 arvamusavalduseks avatud elektrituruseaduse ja energiamajanduse korralduse seaduse muutmise seaduse eelnõule. </w:t>
            </w:r>
          </w:p>
          <w:p w14:paraId="3A411C7B" w14:textId="77777777" w:rsidR="007F4F0D" w:rsidRPr="005C0F32" w:rsidRDefault="007F4F0D" w:rsidP="007F4F0D">
            <w:pPr>
              <w:rPr>
                <w:rFonts w:ascii="Times New Roman" w:hAnsi="Times New Roman" w:cs="Times New Roman"/>
                <w:sz w:val="24"/>
                <w:szCs w:val="24"/>
              </w:rPr>
            </w:pPr>
            <w:r w:rsidRPr="005C0F32">
              <w:rPr>
                <w:rFonts w:ascii="Times New Roman" w:hAnsi="Times New Roman" w:cs="Times New Roman"/>
                <w:sz w:val="24"/>
                <w:szCs w:val="24"/>
              </w:rPr>
              <w:t xml:space="preserve">Esmalt avame laiema konteksti, millega Eesti energeetika ja selle osana meretuuleenergeetika kujundamisel on arukas arvestada ja seejärel esitame mõned konkreetsed arvamused ja tähelepanekud seaduse eelnõule. </w:t>
            </w:r>
            <w:r w:rsidRPr="005C0F32">
              <w:rPr>
                <w:rFonts w:ascii="Times New Roman" w:hAnsi="Times New Roman" w:cs="Times New Roman"/>
                <w:sz w:val="24"/>
                <w:szCs w:val="24"/>
              </w:rPr>
              <w:lastRenderedPageBreak/>
              <w:t xml:space="preserve">Laiem meretuuleenergeetika kontekst Viimaste aastate jooksul on rahvusvahelises meretuuleenergeetika sektoris toimunud mitmed arengud, millega Eesti peab arvestama. </w:t>
            </w:r>
          </w:p>
          <w:p w14:paraId="4C1314B2" w14:textId="181FF9B7" w:rsidR="007F4F0D" w:rsidRPr="005C0F32" w:rsidRDefault="007F4F0D" w:rsidP="00F11797">
            <w:pPr>
              <w:pStyle w:val="Loendilik"/>
              <w:numPr>
                <w:ilvl w:val="0"/>
                <w:numId w:val="3"/>
              </w:numPr>
              <w:rPr>
                <w:rFonts w:ascii="Times New Roman" w:hAnsi="Times New Roman" w:cs="Times New Roman"/>
                <w:sz w:val="24"/>
                <w:szCs w:val="24"/>
              </w:rPr>
            </w:pPr>
            <w:r w:rsidRPr="005C0F32">
              <w:rPr>
                <w:rFonts w:ascii="Times New Roman" w:hAnsi="Times New Roman" w:cs="Times New Roman"/>
                <w:sz w:val="24"/>
                <w:szCs w:val="24"/>
              </w:rPr>
              <w:t xml:space="preserve">Soodsaima hinnaga elektrit on võimalik toota vaid ratsionaalse suurusega meretuulepargis ja see suurus on tänapäeval vähemalt 1000 MW. Selline elektrijaam toodab umbes 4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elektrit aastas. Kavandatavad ja lähiaastatel ehitatavad meretuulepargid Euroopas on üldjuhul suurusega 1000 – 2000 MW. Seega peab mistahes hinna stabiilsusmehhanism olema piisav 4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toodangule. Ei ole põhjust eeldada et Eestisse oleks võimalik rajada „poolikut“ meretuuleparki või et „teine pool“ meretuulepargist rajataks ilma hinna stabiilsusmehhanismita. </w:t>
            </w:r>
          </w:p>
          <w:p w14:paraId="167CE1BD" w14:textId="7EE13176" w:rsidR="007F4F0D" w:rsidRPr="005C0F32" w:rsidRDefault="007F4F0D" w:rsidP="00F11797">
            <w:pPr>
              <w:pStyle w:val="Loendilik"/>
              <w:numPr>
                <w:ilvl w:val="0"/>
                <w:numId w:val="3"/>
              </w:numPr>
              <w:rPr>
                <w:rFonts w:ascii="Times New Roman" w:hAnsi="Times New Roman" w:cs="Times New Roman"/>
                <w:sz w:val="24"/>
                <w:szCs w:val="24"/>
              </w:rPr>
            </w:pPr>
            <w:r w:rsidRPr="005C0F32">
              <w:rPr>
                <w:rFonts w:ascii="Times New Roman" w:hAnsi="Times New Roman" w:cs="Times New Roman"/>
                <w:sz w:val="24"/>
                <w:szCs w:val="24"/>
              </w:rPr>
              <w:t xml:space="preserve">Teadaolevalt puhub merel tuult rohkem ja kauem kui maismaal ning seetõttu on meretuulepargid vältimatult vajalikud riigi tasandil optimaalseima elektrisüsteemi väljaarendamiseks. Ainult mõistlik kombinatsioon erinevatest taastuvenergia ja ka juhitavatest võimsustest annab terviksüsteemina madalaima elektri hinna pikema perioodi lõikes (nt aasta keskmine hind), mis on vajalik nii praegustele elektritarbijatel kui ka võimalikele Eestisse tulevatele uutele tööstustele. Seetõttu on 2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mahus ehk ligikaudu 500 MW võimsusega kavandatav </w:t>
            </w:r>
            <w:proofErr w:type="spellStart"/>
            <w:r w:rsidRPr="005C0F32">
              <w:rPr>
                <w:rFonts w:ascii="Times New Roman" w:hAnsi="Times New Roman" w:cs="Times New Roman"/>
                <w:sz w:val="24"/>
                <w:szCs w:val="24"/>
              </w:rPr>
              <w:t>CfD</w:t>
            </w:r>
            <w:proofErr w:type="spellEnd"/>
            <w:r w:rsidRPr="005C0F32">
              <w:rPr>
                <w:rFonts w:ascii="Times New Roman" w:hAnsi="Times New Roman" w:cs="Times New Roman"/>
                <w:sz w:val="24"/>
                <w:szCs w:val="24"/>
              </w:rPr>
              <w:t xml:space="preserve"> skeem mittetoimiv poolik lahendus.</w:t>
            </w:r>
          </w:p>
          <w:p w14:paraId="4D67F4F3" w14:textId="68284D1D" w:rsidR="007F4F0D" w:rsidRPr="005C0F32" w:rsidRDefault="007F4F0D" w:rsidP="00F11797">
            <w:pPr>
              <w:pStyle w:val="Loendilik"/>
              <w:numPr>
                <w:ilvl w:val="0"/>
                <w:numId w:val="3"/>
              </w:numPr>
              <w:rPr>
                <w:rFonts w:ascii="Times New Roman" w:hAnsi="Times New Roman" w:cs="Times New Roman"/>
                <w:sz w:val="24"/>
                <w:szCs w:val="24"/>
              </w:rPr>
            </w:pPr>
            <w:r w:rsidRPr="005C0F32">
              <w:rPr>
                <w:rFonts w:ascii="Times New Roman" w:hAnsi="Times New Roman" w:cs="Times New Roman"/>
                <w:sz w:val="24"/>
                <w:szCs w:val="24"/>
              </w:rPr>
              <w:t>Oluline on mõista et meretuuleparkide rajamise ambitsioon Euroopas on väga suur, kuid tarneahela võimekus ei võimalda kõiki projekte realiseerida. Seega ehitatakse välja parimad projektid neis riikides, kus investeerimiskeskkond on seda soosiv. Eesti ilmselgelt ei ole väga atraktiivne piirkond ning ebapiisav hinna stabiilsusmehhanism koos ebaselgete ja muutlike sõnumitega riigi poolt vähendavad Eesti konkurentsivõimet ja atraktiivsust veelgi.</w:t>
            </w:r>
          </w:p>
          <w:p w14:paraId="5E5B925C" w14:textId="778AAC11" w:rsidR="007F4F0D" w:rsidRPr="005C0F32" w:rsidRDefault="007F4F0D" w:rsidP="00F11797">
            <w:pPr>
              <w:pStyle w:val="Loendilik"/>
              <w:numPr>
                <w:ilvl w:val="0"/>
                <w:numId w:val="3"/>
              </w:numPr>
              <w:rPr>
                <w:rFonts w:ascii="Times New Roman" w:hAnsi="Times New Roman" w:cs="Times New Roman"/>
                <w:sz w:val="24"/>
                <w:szCs w:val="24"/>
              </w:rPr>
            </w:pPr>
            <w:proofErr w:type="spellStart"/>
            <w:r w:rsidRPr="005C0F32">
              <w:rPr>
                <w:rFonts w:ascii="Times New Roman" w:hAnsi="Times New Roman" w:cs="Times New Roman"/>
                <w:sz w:val="24"/>
                <w:szCs w:val="24"/>
              </w:rPr>
              <w:t>CfD</w:t>
            </w:r>
            <w:proofErr w:type="spellEnd"/>
            <w:r w:rsidRPr="005C0F32">
              <w:rPr>
                <w:rFonts w:ascii="Times New Roman" w:hAnsi="Times New Roman" w:cs="Times New Roman"/>
                <w:sz w:val="24"/>
                <w:szCs w:val="24"/>
              </w:rPr>
              <w:t xml:space="preserve"> oksjoni korraldamisel saavutatakse kogu energiasüsteemile ja ühiskonnale parimad tulemused kui praktiline faktiline informatsioon kavandatavate alade kohta on võimalikult selge. Eesti tingimustes võiksid 2025 aasta </w:t>
            </w:r>
            <w:proofErr w:type="spellStart"/>
            <w:r w:rsidRPr="005C0F32">
              <w:rPr>
                <w:rFonts w:ascii="Times New Roman" w:hAnsi="Times New Roman" w:cs="Times New Roman"/>
                <w:sz w:val="24"/>
                <w:szCs w:val="24"/>
              </w:rPr>
              <w:t>CfD</w:t>
            </w:r>
            <w:proofErr w:type="spellEnd"/>
            <w:r w:rsidRPr="005C0F32">
              <w:rPr>
                <w:rFonts w:ascii="Times New Roman" w:hAnsi="Times New Roman" w:cs="Times New Roman"/>
                <w:sz w:val="24"/>
                <w:szCs w:val="24"/>
              </w:rPr>
              <w:t xml:space="preserve"> oksjonil eelduslikult osaleda kuni 5 pakkujat aladel, kus on algatatud hoonestusloa menetlused. Enamusel neist aladest ei ole pakkumise ajaks hoonestusluba väljastatud ja mitmel alal puudub teadmine ehitusgeoloogilistest tingimustest, keskkonnapiirangutest (mis selgitatakse välja sel ajal veel käimas oleva keskkonnamõju hindamise käigus) ja muudest väga olulistest parameetritest. Seetõttu on tõenäoline et </w:t>
            </w:r>
            <w:proofErr w:type="spellStart"/>
            <w:r w:rsidRPr="005C0F32">
              <w:rPr>
                <w:rFonts w:ascii="Times New Roman" w:hAnsi="Times New Roman" w:cs="Times New Roman"/>
                <w:sz w:val="24"/>
                <w:szCs w:val="24"/>
              </w:rPr>
              <w:t>CfD</w:t>
            </w:r>
            <w:proofErr w:type="spellEnd"/>
            <w:r w:rsidRPr="005C0F32">
              <w:rPr>
                <w:rFonts w:ascii="Times New Roman" w:hAnsi="Times New Roman" w:cs="Times New Roman"/>
                <w:sz w:val="24"/>
                <w:szCs w:val="24"/>
              </w:rPr>
              <w:t xml:space="preserve"> pakkumised sisaldavad väga suurt teadamatusest tulenevat arendaja riski, mis väljendub kõrgemas pakutavas elektri hinnas. Mida vähem on praktilist ja faktilist informatsiooni tehniliste ülesannete lahendamiseks meretuuleparkide alade ja (keskkonna)piirangute kohta, seda kõrgem on risk ja seetõttu ka pakutav elektri hind. </w:t>
            </w:r>
          </w:p>
          <w:p w14:paraId="0B6E3DEC" w14:textId="48A14DB2" w:rsidR="007F4F0D" w:rsidRPr="005C0F32" w:rsidRDefault="007F4F0D" w:rsidP="00F11797">
            <w:pPr>
              <w:pStyle w:val="Loendilik"/>
              <w:numPr>
                <w:ilvl w:val="0"/>
                <w:numId w:val="3"/>
              </w:numPr>
              <w:rPr>
                <w:rFonts w:ascii="Times New Roman" w:hAnsi="Times New Roman" w:cs="Times New Roman"/>
                <w:sz w:val="24"/>
                <w:szCs w:val="24"/>
              </w:rPr>
            </w:pPr>
            <w:r w:rsidRPr="005C0F32">
              <w:rPr>
                <w:rFonts w:ascii="Times New Roman" w:hAnsi="Times New Roman" w:cs="Times New Roman"/>
                <w:sz w:val="24"/>
                <w:szCs w:val="24"/>
              </w:rPr>
              <w:t>Juba mainitud hoonestusloa puudumine, kuid ka teiste lubade (nt veeluba, ehitusluba) puudumine on täiendav risk, mille mittemaandamisel tõuseb pakutava elektri hind. Lubadega seonduv risk (</w:t>
            </w:r>
            <w:proofErr w:type="spellStart"/>
            <w:r w:rsidRPr="005C0F32">
              <w:rPr>
                <w:rFonts w:ascii="Times New Roman" w:hAnsi="Times New Roman" w:cs="Times New Roman"/>
                <w:sz w:val="24"/>
                <w:szCs w:val="24"/>
              </w:rPr>
              <w:t>permitting</w:t>
            </w:r>
            <w:proofErr w:type="spellEnd"/>
            <w:r w:rsidRPr="005C0F32">
              <w:rPr>
                <w:rFonts w:ascii="Times New Roman" w:hAnsi="Times New Roman" w:cs="Times New Roman"/>
                <w:sz w:val="24"/>
                <w:szCs w:val="24"/>
              </w:rPr>
              <w:t xml:space="preserve"> risk) ja ebakindlus mitte ainult ei suurenda pakutava elektri hinda, vaid suurendab ka riski riigile et meretuulepark/pargid ei realiseeru ning mõne aasta pärast tuleb pakkumisi korrata. </w:t>
            </w:r>
          </w:p>
          <w:p w14:paraId="7EF56C49" w14:textId="720A0CE3" w:rsidR="007F4F0D" w:rsidRPr="005C0F32" w:rsidRDefault="007F4F0D" w:rsidP="00F11797">
            <w:pPr>
              <w:pStyle w:val="Loendilik"/>
              <w:numPr>
                <w:ilvl w:val="0"/>
                <w:numId w:val="3"/>
              </w:numPr>
              <w:rPr>
                <w:rFonts w:ascii="Times New Roman" w:hAnsi="Times New Roman" w:cs="Times New Roman"/>
                <w:sz w:val="24"/>
                <w:szCs w:val="24"/>
              </w:rPr>
            </w:pPr>
            <w:r w:rsidRPr="005C0F32">
              <w:rPr>
                <w:rFonts w:ascii="Times New Roman" w:hAnsi="Times New Roman" w:cs="Times New Roman"/>
                <w:sz w:val="24"/>
                <w:szCs w:val="24"/>
              </w:rPr>
              <w:t xml:space="preserve">330 </w:t>
            </w:r>
            <w:proofErr w:type="spellStart"/>
            <w:r w:rsidRPr="005C0F32">
              <w:rPr>
                <w:rFonts w:ascii="Times New Roman" w:hAnsi="Times New Roman" w:cs="Times New Roman"/>
                <w:sz w:val="24"/>
                <w:szCs w:val="24"/>
              </w:rPr>
              <w:t>kV</w:t>
            </w:r>
            <w:proofErr w:type="spellEnd"/>
            <w:r w:rsidRPr="005C0F32">
              <w:rPr>
                <w:rFonts w:ascii="Times New Roman" w:hAnsi="Times New Roman" w:cs="Times New Roman"/>
                <w:sz w:val="24"/>
                <w:szCs w:val="24"/>
              </w:rPr>
              <w:t xml:space="preserve"> elektrisüsteemiga liitumine. Tunnustame juba tehtud samme seoses elektrivõrguga liitumise selgemaks ja arusadavamaks tegemisel (nt fikseeritud hinnaga liitumine), ülekandesüsteemide </w:t>
            </w:r>
            <w:r w:rsidRPr="005C0F32">
              <w:rPr>
                <w:rFonts w:ascii="Times New Roman" w:hAnsi="Times New Roman" w:cs="Times New Roman"/>
                <w:sz w:val="24"/>
                <w:szCs w:val="24"/>
              </w:rPr>
              <w:lastRenderedPageBreak/>
              <w:t xml:space="preserve">ruumiliste planeeringute koostamist (nt riigi eriplaneeringud Paidest Saaremaale ja Pärnumaal) ja rahvusvaheliste ühenduste erinevaid menetlusi (hoonestusload Läti ja Soome suunal, eeltööd Saksamaa suunal). On ilmselge et 330 </w:t>
            </w:r>
            <w:proofErr w:type="spellStart"/>
            <w:r w:rsidRPr="005C0F32">
              <w:rPr>
                <w:rFonts w:ascii="Times New Roman" w:hAnsi="Times New Roman" w:cs="Times New Roman"/>
                <w:sz w:val="24"/>
                <w:szCs w:val="24"/>
              </w:rPr>
              <w:t>kV</w:t>
            </w:r>
            <w:proofErr w:type="spellEnd"/>
            <w:r w:rsidRPr="005C0F32">
              <w:rPr>
                <w:rFonts w:ascii="Times New Roman" w:hAnsi="Times New Roman" w:cs="Times New Roman"/>
                <w:sz w:val="24"/>
                <w:szCs w:val="24"/>
              </w:rPr>
              <w:t xml:space="preserve"> elektri ülekandesüsteemi arendamine ja väljaehitamine on keerukas ja teatavate ennenägematute asjaoludega. Kuna suur osa 330 </w:t>
            </w:r>
            <w:proofErr w:type="spellStart"/>
            <w:r w:rsidRPr="005C0F32">
              <w:rPr>
                <w:rFonts w:ascii="Times New Roman" w:hAnsi="Times New Roman" w:cs="Times New Roman"/>
                <w:sz w:val="24"/>
                <w:szCs w:val="24"/>
              </w:rPr>
              <w:t>kV</w:t>
            </w:r>
            <w:proofErr w:type="spellEnd"/>
            <w:r w:rsidRPr="005C0F32">
              <w:rPr>
                <w:rFonts w:ascii="Times New Roman" w:hAnsi="Times New Roman" w:cs="Times New Roman"/>
                <w:sz w:val="24"/>
                <w:szCs w:val="24"/>
              </w:rPr>
              <w:t xml:space="preserve"> elektri ülekandesüsteemi arendamisest ei ole mõjutatav meretuulepargi arendaja poolt, siis ei saa ka sellega seonduvaid riske jätta meretuulepargi arendaja kanda. Elektri ülekandesüsteem ja meretuulepark peavad valmima </w:t>
            </w:r>
            <w:proofErr w:type="spellStart"/>
            <w:r w:rsidRPr="005C0F32">
              <w:rPr>
                <w:rFonts w:ascii="Times New Roman" w:hAnsi="Times New Roman" w:cs="Times New Roman"/>
                <w:sz w:val="24"/>
                <w:szCs w:val="24"/>
              </w:rPr>
              <w:t>sama-aegselt</w:t>
            </w:r>
            <w:proofErr w:type="spellEnd"/>
            <w:r w:rsidRPr="005C0F32">
              <w:rPr>
                <w:rFonts w:ascii="Times New Roman" w:hAnsi="Times New Roman" w:cs="Times New Roman"/>
                <w:sz w:val="24"/>
                <w:szCs w:val="24"/>
              </w:rPr>
              <w:t xml:space="preserve">. Juhul kui viivitused on seotud 330 </w:t>
            </w:r>
            <w:proofErr w:type="spellStart"/>
            <w:r w:rsidRPr="005C0F32">
              <w:rPr>
                <w:rFonts w:ascii="Times New Roman" w:hAnsi="Times New Roman" w:cs="Times New Roman"/>
                <w:sz w:val="24"/>
                <w:szCs w:val="24"/>
              </w:rPr>
              <w:t>kV</w:t>
            </w:r>
            <w:proofErr w:type="spellEnd"/>
            <w:r w:rsidRPr="005C0F32">
              <w:rPr>
                <w:rFonts w:ascii="Times New Roman" w:hAnsi="Times New Roman" w:cs="Times New Roman"/>
                <w:sz w:val="24"/>
                <w:szCs w:val="24"/>
              </w:rPr>
              <w:t xml:space="preserve"> elektri ülekandesüsteemi arendamisega, siis peab riigi poolt olema garanteeritud mõistlik riskimaandamine meretuulepargi arendajale. Elektrisüsteemi arenduse mittetähtajalise valmimise riski ei saa jätta meretuulepargi arendaja kanda. Suurem ebakindlus ja kõrgem risk suurendavad pakutava elektri hinda või toovad kaasa projektide väljaehitamisest loobumise. </w:t>
            </w:r>
          </w:p>
          <w:p w14:paraId="0801821A" w14:textId="77777777" w:rsidR="007F4F0D" w:rsidRPr="007C23A0" w:rsidRDefault="007F4F0D" w:rsidP="00F11797">
            <w:pPr>
              <w:pStyle w:val="Loendilik"/>
              <w:numPr>
                <w:ilvl w:val="0"/>
                <w:numId w:val="3"/>
              </w:numPr>
              <w:rPr>
                <w:rFonts w:ascii="Times New Roman" w:eastAsia="Times New Roman" w:hAnsi="Times New Roman" w:cs="Times New Roman"/>
                <w:b/>
                <w:bCs/>
                <w:color w:val="000000"/>
                <w:sz w:val="24"/>
                <w:szCs w:val="24"/>
              </w:rPr>
            </w:pPr>
            <w:proofErr w:type="spellStart"/>
            <w:r w:rsidRPr="005C0F32">
              <w:rPr>
                <w:rFonts w:ascii="Times New Roman" w:hAnsi="Times New Roman" w:cs="Times New Roman"/>
                <w:sz w:val="24"/>
                <w:szCs w:val="24"/>
              </w:rPr>
              <w:t>CfD</w:t>
            </w:r>
            <w:proofErr w:type="spellEnd"/>
            <w:r w:rsidRPr="005C0F32">
              <w:rPr>
                <w:rFonts w:ascii="Times New Roman" w:hAnsi="Times New Roman" w:cs="Times New Roman"/>
                <w:sz w:val="24"/>
                <w:szCs w:val="24"/>
              </w:rPr>
              <w:t xml:space="preserve"> ja FID (lõplik finantseerimisotsus) vaheline aeg. Mida pikem on aeg </w:t>
            </w:r>
            <w:proofErr w:type="spellStart"/>
            <w:r w:rsidRPr="005C0F32">
              <w:rPr>
                <w:rFonts w:ascii="Times New Roman" w:hAnsi="Times New Roman" w:cs="Times New Roman"/>
                <w:sz w:val="24"/>
                <w:szCs w:val="24"/>
              </w:rPr>
              <w:t>CfD</w:t>
            </w:r>
            <w:proofErr w:type="spellEnd"/>
            <w:r w:rsidRPr="005C0F32">
              <w:rPr>
                <w:rFonts w:ascii="Times New Roman" w:hAnsi="Times New Roman" w:cs="Times New Roman"/>
                <w:sz w:val="24"/>
                <w:szCs w:val="24"/>
              </w:rPr>
              <w:t xml:space="preserve"> võitja väljakuulutamise ja FID vahel, seda rohkem on ebaselgust ja võimalikke muutujaid. Nagu eelmistegi punktide puhul tähendab rohkem ebaselgust/määramatust suuremaid riske ja tõstab pakutava elektri hinda.</w:t>
            </w:r>
          </w:p>
          <w:p w14:paraId="1D3DE7F0" w14:textId="4C354ACB" w:rsidR="007F4F0D" w:rsidRPr="007C23A0" w:rsidRDefault="007F4F0D" w:rsidP="00F11797">
            <w:pPr>
              <w:pStyle w:val="Loendilik"/>
              <w:numPr>
                <w:ilvl w:val="0"/>
                <w:numId w:val="3"/>
              </w:numPr>
              <w:rPr>
                <w:rFonts w:ascii="Times New Roman" w:eastAsia="Times New Roman" w:hAnsi="Times New Roman" w:cs="Times New Roman"/>
                <w:b/>
                <w:bCs/>
                <w:color w:val="000000"/>
                <w:sz w:val="24"/>
                <w:szCs w:val="24"/>
              </w:rPr>
            </w:pPr>
            <w:r w:rsidRPr="005C0F32">
              <w:rPr>
                <w:rFonts w:ascii="Times New Roman" w:hAnsi="Times New Roman" w:cs="Times New Roman"/>
                <w:sz w:val="24"/>
                <w:szCs w:val="24"/>
              </w:rPr>
              <w:t xml:space="preserve"> Eelnõu ei sisalda põhimõtteid </w:t>
            </w:r>
            <w:proofErr w:type="spellStart"/>
            <w:r w:rsidRPr="005C0F32">
              <w:rPr>
                <w:rFonts w:ascii="Times New Roman" w:hAnsi="Times New Roman" w:cs="Times New Roman"/>
                <w:sz w:val="24"/>
                <w:szCs w:val="24"/>
              </w:rPr>
              <w:t>CfD</w:t>
            </w:r>
            <w:proofErr w:type="spellEnd"/>
            <w:r w:rsidRPr="005C0F32">
              <w:rPr>
                <w:rFonts w:ascii="Times New Roman" w:hAnsi="Times New Roman" w:cs="Times New Roman"/>
                <w:sz w:val="24"/>
                <w:szCs w:val="24"/>
              </w:rPr>
              <w:t xml:space="preserve"> mehhanismi indekseerimiseks aja jooksul. See toob </w:t>
            </w:r>
            <w:proofErr w:type="spellStart"/>
            <w:r w:rsidRPr="005C0F32">
              <w:rPr>
                <w:rFonts w:ascii="Times New Roman" w:hAnsi="Times New Roman" w:cs="Times New Roman"/>
                <w:sz w:val="24"/>
                <w:szCs w:val="24"/>
              </w:rPr>
              <w:t>CfD</w:t>
            </w:r>
            <w:proofErr w:type="spellEnd"/>
            <w:r w:rsidRPr="005C0F32">
              <w:rPr>
                <w:rFonts w:ascii="Times New Roman" w:hAnsi="Times New Roman" w:cs="Times New Roman"/>
                <w:sz w:val="24"/>
                <w:szCs w:val="24"/>
              </w:rPr>
              <w:t xml:space="preserve"> pakkumisel kaasa oluliselt kõrgemad pakkumishinnad. Soovitame kaaluda indekseerimise lisamist, mis langetab kokkuvõttes elektri hinda kogu lepinguperioodi vaates.</w:t>
            </w:r>
          </w:p>
        </w:tc>
        <w:tc>
          <w:tcPr>
            <w:tcW w:w="3282" w:type="dxa"/>
          </w:tcPr>
          <w:p w14:paraId="5252B761" w14:textId="256D2143" w:rsidR="002B5D8F" w:rsidRPr="00797EDC" w:rsidRDefault="00976230" w:rsidP="69ACF809">
            <w:pPr>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Selgitame</w:t>
            </w:r>
          </w:p>
          <w:p w14:paraId="0B92DED6" w14:textId="1E341D64" w:rsidR="002B5D8F" w:rsidRPr="00797EDC" w:rsidRDefault="002B5D8F" w:rsidP="69ACF809">
            <w:pPr>
              <w:jc w:val="both"/>
              <w:rPr>
                <w:rFonts w:ascii="Times New Roman" w:eastAsia="Calibri" w:hAnsi="Times New Roman" w:cs="Times New Roman"/>
                <w:sz w:val="24"/>
                <w:szCs w:val="24"/>
              </w:rPr>
            </w:pPr>
          </w:p>
          <w:p w14:paraId="37881417" w14:textId="4B2879AC" w:rsidR="002B5D8F" w:rsidRPr="00797EDC" w:rsidRDefault="00717867" w:rsidP="002B5D8F">
            <w:pPr>
              <w:jc w:val="both"/>
              <w:rPr>
                <w:rFonts w:ascii="Times New Roman" w:eastAsia="Calibri" w:hAnsi="Times New Roman" w:cs="Times New Roman"/>
                <w:sz w:val="24"/>
                <w:szCs w:val="24"/>
              </w:rPr>
            </w:pPr>
            <w:r>
              <w:rPr>
                <w:rFonts w:ascii="Times New Roman" w:eastAsia="Calibri" w:hAnsi="Times New Roman" w:cs="Times New Roman"/>
                <w:sz w:val="24"/>
                <w:szCs w:val="24"/>
              </w:rPr>
              <w:t>M</w:t>
            </w:r>
            <w:r w:rsidR="001C73F6" w:rsidRPr="00797EDC">
              <w:rPr>
                <w:rFonts w:ascii="Times New Roman" w:eastAsia="Calibri" w:hAnsi="Times New Roman" w:cs="Times New Roman"/>
                <w:sz w:val="24"/>
                <w:szCs w:val="24"/>
              </w:rPr>
              <w:t>ärgime, et k</w:t>
            </w:r>
            <w:r w:rsidR="002B5D8F" w:rsidRPr="00797EDC">
              <w:rPr>
                <w:rFonts w:ascii="Times New Roman" w:eastAsia="Calibri" w:hAnsi="Times New Roman" w:cs="Times New Roman"/>
                <w:sz w:val="24"/>
                <w:szCs w:val="24"/>
              </w:rPr>
              <w:t xml:space="preserve">uigi suuremad meretuulepargid võivad pakkuda majanduslikku </w:t>
            </w:r>
            <w:r w:rsidR="002B5D8F" w:rsidRPr="00797EDC">
              <w:rPr>
                <w:rFonts w:ascii="Times New Roman" w:eastAsia="Calibri" w:hAnsi="Times New Roman" w:cs="Times New Roman"/>
                <w:sz w:val="24"/>
                <w:szCs w:val="24"/>
              </w:rPr>
              <w:lastRenderedPageBreak/>
              <w:t>mastaabisäästu, pole tehniliselt või majanduslikult tõestatud, et ainult 1000 MW suurused pargid oleksid ainus viis odavama elektri tootmiseks. Väiksemad pargid võivad teatud tingimustel olla samuti tasuvad, eriti kui vaadata nende sobivust kohalike võrguühenduste ja olemasolevate energiaturgudega.</w:t>
            </w:r>
          </w:p>
          <w:p w14:paraId="5B94383A" w14:textId="77777777" w:rsidR="002B5D8F" w:rsidRPr="00797EDC" w:rsidRDefault="002B5D8F" w:rsidP="002B5D8F">
            <w:pPr>
              <w:jc w:val="both"/>
              <w:rPr>
                <w:rFonts w:ascii="Times New Roman" w:eastAsia="Calibri" w:hAnsi="Times New Roman" w:cs="Times New Roman"/>
                <w:sz w:val="24"/>
                <w:szCs w:val="24"/>
              </w:rPr>
            </w:pPr>
          </w:p>
          <w:p w14:paraId="56D84BDD" w14:textId="7EF87AAD" w:rsidR="002B5D8F" w:rsidRPr="00797EDC" w:rsidRDefault="00717867" w:rsidP="005147F0">
            <w:pPr>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005147F0" w:rsidRPr="00797EDC">
              <w:rPr>
                <w:rFonts w:ascii="Times New Roman" w:eastAsia="Calibri" w:hAnsi="Times New Roman" w:cs="Times New Roman"/>
                <w:sz w:val="24"/>
                <w:szCs w:val="24"/>
              </w:rPr>
              <w:t xml:space="preserve">elgitame, et </w:t>
            </w:r>
            <w:r w:rsidR="002B5D8F" w:rsidRPr="00797EDC">
              <w:rPr>
                <w:rFonts w:ascii="Times New Roman" w:eastAsia="Calibri" w:hAnsi="Times New Roman" w:cs="Times New Roman"/>
                <w:sz w:val="24"/>
                <w:szCs w:val="24"/>
              </w:rPr>
              <w:t xml:space="preserve">optimaalse elektrisüsteemi saavutamine ei sõltu ainult meretuuleenergeetikast. Maismaa tuuleenergia, päikeseenergia ja juhitavad võimsused (nt </w:t>
            </w:r>
            <w:proofErr w:type="spellStart"/>
            <w:r w:rsidR="002B5D8F" w:rsidRPr="00797EDC">
              <w:rPr>
                <w:rFonts w:ascii="Times New Roman" w:eastAsia="Calibri" w:hAnsi="Times New Roman" w:cs="Times New Roman"/>
                <w:sz w:val="24"/>
                <w:szCs w:val="24"/>
              </w:rPr>
              <w:t>hüdro</w:t>
            </w:r>
            <w:proofErr w:type="spellEnd"/>
            <w:r w:rsidR="002B5D8F" w:rsidRPr="00797EDC">
              <w:rPr>
                <w:rFonts w:ascii="Times New Roman" w:eastAsia="Calibri" w:hAnsi="Times New Roman" w:cs="Times New Roman"/>
                <w:sz w:val="24"/>
                <w:szCs w:val="24"/>
              </w:rPr>
              <w:t>- ja biokütused) võivad pakkuda olulist panust.</w:t>
            </w:r>
          </w:p>
          <w:p w14:paraId="366CC27D" w14:textId="77777777" w:rsidR="002B5D8F" w:rsidRPr="00797EDC" w:rsidRDefault="002B5D8F" w:rsidP="002B5D8F">
            <w:pPr>
              <w:jc w:val="both"/>
              <w:rPr>
                <w:rFonts w:ascii="Times New Roman" w:eastAsia="Calibri" w:hAnsi="Times New Roman" w:cs="Times New Roman"/>
                <w:sz w:val="24"/>
                <w:szCs w:val="24"/>
              </w:rPr>
            </w:pPr>
          </w:p>
          <w:p w14:paraId="21A9D998" w14:textId="13DAA2FF" w:rsidR="002B5D8F" w:rsidRPr="00797EDC" w:rsidRDefault="002238DA" w:rsidP="006B6E95">
            <w:pPr>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Meie hinnangul sõltuvad i</w:t>
            </w:r>
            <w:r w:rsidR="002B5D8F" w:rsidRPr="00797EDC">
              <w:rPr>
                <w:rFonts w:ascii="Times New Roman" w:eastAsia="Calibri" w:hAnsi="Times New Roman" w:cs="Times New Roman"/>
                <w:sz w:val="24"/>
                <w:szCs w:val="24"/>
              </w:rPr>
              <w:t>nvesteerimisotsused mitmest tegurist, sealhulgas poliitilistest, tehnilistest ja turul valitsevatest asjaoludest. Eesti avarduv taristupoliitika ja planeerimismeetmed, nagu Saaremaa elektriühendused, tõstavad atraktiivsust. Investeerimiskeskkond ei tugine ainult hinna stabiilsusmehhanismidele.</w:t>
            </w:r>
          </w:p>
          <w:p w14:paraId="5B9E2F81" w14:textId="77777777" w:rsidR="001A21AF" w:rsidRPr="00797EDC" w:rsidRDefault="001A21AF" w:rsidP="006B6E95">
            <w:pPr>
              <w:jc w:val="both"/>
              <w:rPr>
                <w:rFonts w:ascii="Times New Roman" w:eastAsia="Calibri" w:hAnsi="Times New Roman" w:cs="Times New Roman"/>
                <w:sz w:val="24"/>
                <w:szCs w:val="24"/>
              </w:rPr>
            </w:pPr>
          </w:p>
          <w:p w14:paraId="76132D32" w14:textId="5D2A3D12" w:rsidR="002B5D8F" w:rsidRPr="00797EDC" w:rsidRDefault="003E2353" w:rsidP="001A21AF">
            <w:pPr>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lastRenderedPageBreak/>
              <w:t xml:space="preserve">Märgime, et </w:t>
            </w:r>
            <w:proofErr w:type="spellStart"/>
            <w:r w:rsidR="002B5D8F" w:rsidRPr="00797EDC">
              <w:rPr>
                <w:rFonts w:ascii="Times New Roman" w:eastAsia="Calibri" w:hAnsi="Times New Roman" w:cs="Times New Roman"/>
                <w:sz w:val="24"/>
                <w:szCs w:val="24"/>
              </w:rPr>
              <w:t>CfD</w:t>
            </w:r>
            <w:proofErr w:type="spellEnd"/>
            <w:r w:rsidR="002B5D8F" w:rsidRPr="00797EDC">
              <w:rPr>
                <w:rFonts w:ascii="Times New Roman" w:eastAsia="Calibri" w:hAnsi="Times New Roman" w:cs="Times New Roman"/>
                <w:sz w:val="24"/>
                <w:szCs w:val="24"/>
              </w:rPr>
              <w:t xml:space="preserve"> oksjonites osalemi</w:t>
            </w:r>
            <w:r w:rsidR="00AB52CE">
              <w:rPr>
                <w:rFonts w:ascii="Times New Roman" w:eastAsia="Calibri" w:hAnsi="Times New Roman" w:cs="Times New Roman"/>
                <w:sz w:val="24"/>
                <w:szCs w:val="24"/>
              </w:rPr>
              <w:t>sel</w:t>
            </w:r>
            <w:r w:rsidR="002B5D8F" w:rsidRPr="00797EDC">
              <w:rPr>
                <w:rFonts w:ascii="Times New Roman" w:eastAsia="Calibri" w:hAnsi="Times New Roman" w:cs="Times New Roman"/>
                <w:sz w:val="24"/>
                <w:szCs w:val="24"/>
              </w:rPr>
              <w:t xml:space="preserve"> teevad</w:t>
            </w:r>
            <w:r w:rsidR="00AB52CE">
              <w:rPr>
                <w:rFonts w:ascii="Times New Roman" w:eastAsia="Calibri" w:hAnsi="Times New Roman" w:cs="Times New Roman"/>
                <w:sz w:val="24"/>
                <w:szCs w:val="24"/>
              </w:rPr>
              <w:t xml:space="preserve"> arendajad</w:t>
            </w:r>
            <w:r w:rsidR="002B5D8F" w:rsidRPr="00797EDC">
              <w:rPr>
                <w:rFonts w:ascii="Times New Roman" w:eastAsia="Calibri" w:hAnsi="Times New Roman" w:cs="Times New Roman"/>
                <w:sz w:val="24"/>
                <w:szCs w:val="24"/>
              </w:rPr>
              <w:t xml:space="preserve"> oma pakkumised teadlikult vastavalt olemasolevale infole. </w:t>
            </w:r>
          </w:p>
          <w:p w14:paraId="4188E701" w14:textId="77777777" w:rsidR="001A21AF" w:rsidRPr="00797EDC" w:rsidRDefault="001A21AF" w:rsidP="001A21AF">
            <w:pPr>
              <w:jc w:val="both"/>
              <w:rPr>
                <w:rFonts w:ascii="Times New Roman" w:eastAsia="Calibri" w:hAnsi="Times New Roman" w:cs="Times New Roman"/>
                <w:sz w:val="24"/>
                <w:szCs w:val="24"/>
              </w:rPr>
            </w:pPr>
          </w:p>
          <w:p w14:paraId="69F2E0A3" w14:textId="6BCAE518" w:rsidR="002B5D8F" w:rsidRPr="00797EDC" w:rsidRDefault="00E55A98" w:rsidP="005150B7">
            <w:pPr>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Teie </w:t>
            </w:r>
            <w:r w:rsidR="005150B7" w:rsidRPr="00797EDC">
              <w:rPr>
                <w:rFonts w:ascii="Times New Roman" w:eastAsia="Calibri" w:hAnsi="Times New Roman" w:cs="Times New Roman"/>
                <w:sz w:val="24"/>
                <w:szCs w:val="24"/>
              </w:rPr>
              <w:t>märkusele, et l</w:t>
            </w:r>
            <w:r w:rsidR="002B5D8F" w:rsidRPr="00797EDC">
              <w:rPr>
                <w:rFonts w:ascii="Times New Roman" w:eastAsia="Calibri" w:hAnsi="Times New Roman" w:cs="Times New Roman"/>
                <w:sz w:val="24"/>
                <w:szCs w:val="24"/>
              </w:rPr>
              <w:t>ubade puudumine tõstab märkimisväärselt pakutava elektri hinda</w:t>
            </w:r>
            <w:r w:rsidR="005150B7" w:rsidRPr="00797EDC">
              <w:rPr>
                <w:rFonts w:ascii="Times New Roman" w:eastAsia="Calibri" w:hAnsi="Times New Roman" w:cs="Times New Roman"/>
                <w:sz w:val="24"/>
                <w:szCs w:val="24"/>
              </w:rPr>
              <w:t xml:space="preserve"> leiame, et k</w:t>
            </w:r>
            <w:r w:rsidR="002B5D8F" w:rsidRPr="00797EDC">
              <w:rPr>
                <w:rFonts w:ascii="Times New Roman" w:eastAsia="Calibri" w:hAnsi="Times New Roman" w:cs="Times New Roman"/>
                <w:sz w:val="24"/>
                <w:szCs w:val="24"/>
              </w:rPr>
              <w:t xml:space="preserve">uigi lubade menetlus võib lisada teatavat määramatust, on riik rakendamas meetmeid, et lubade menetlemine oleks kiirem ja selgem. </w:t>
            </w:r>
          </w:p>
          <w:p w14:paraId="39713336" w14:textId="77777777" w:rsidR="00473A4B" w:rsidRPr="00797EDC" w:rsidRDefault="00473A4B" w:rsidP="002B5D8F">
            <w:pPr>
              <w:jc w:val="both"/>
              <w:rPr>
                <w:rFonts w:ascii="Times New Roman" w:eastAsia="Calibri" w:hAnsi="Times New Roman" w:cs="Times New Roman"/>
                <w:sz w:val="24"/>
                <w:szCs w:val="24"/>
              </w:rPr>
            </w:pPr>
          </w:p>
          <w:p w14:paraId="24403BB1" w14:textId="713FE32D" w:rsidR="002B5D8F" w:rsidRPr="00797EDC" w:rsidRDefault="00CA2537" w:rsidP="00473A4B">
            <w:pPr>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Märgime, et </w:t>
            </w:r>
            <w:r w:rsidR="006948C3" w:rsidRPr="00797EDC">
              <w:rPr>
                <w:rFonts w:ascii="Times New Roman" w:eastAsia="Calibri" w:hAnsi="Times New Roman" w:cs="Times New Roman"/>
                <w:sz w:val="24"/>
                <w:szCs w:val="24"/>
              </w:rPr>
              <w:t xml:space="preserve">kuigi </w:t>
            </w:r>
            <w:r w:rsidR="002B5D8F" w:rsidRPr="00797EDC">
              <w:rPr>
                <w:rFonts w:ascii="Times New Roman" w:eastAsia="Calibri" w:hAnsi="Times New Roman" w:cs="Times New Roman"/>
                <w:sz w:val="24"/>
                <w:szCs w:val="24"/>
              </w:rPr>
              <w:t xml:space="preserve">330 </w:t>
            </w:r>
            <w:proofErr w:type="spellStart"/>
            <w:r w:rsidR="002B5D8F" w:rsidRPr="00797EDC">
              <w:rPr>
                <w:rFonts w:ascii="Times New Roman" w:eastAsia="Calibri" w:hAnsi="Times New Roman" w:cs="Times New Roman"/>
                <w:sz w:val="24"/>
                <w:szCs w:val="24"/>
              </w:rPr>
              <w:t>kV</w:t>
            </w:r>
            <w:proofErr w:type="spellEnd"/>
            <w:r w:rsidR="002B5D8F" w:rsidRPr="00797EDC">
              <w:rPr>
                <w:rFonts w:ascii="Times New Roman" w:eastAsia="Calibri" w:hAnsi="Times New Roman" w:cs="Times New Roman"/>
                <w:sz w:val="24"/>
                <w:szCs w:val="24"/>
              </w:rPr>
              <w:t xml:space="preserve"> elektrisüsteemi arendamine </w:t>
            </w:r>
            <w:r w:rsidRPr="00797EDC">
              <w:rPr>
                <w:rFonts w:ascii="Times New Roman" w:eastAsia="Calibri" w:hAnsi="Times New Roman" w:cs="Times New Roman"/>
                <w:sz w:val="24"/>
                <w:szCs w:val="24"/>
              </w:rPr>
              <w:t>on keerukas</w:t>
            </w:r>
            <w:r w:rsidR="002B5D8F" w:rsidRPr="00797EDC">
              <w:rPr>
                <w:rFonts w:ascii="Times New Roman" w:eastAsia="Calibri" w:hAnsi="Times New Roman" w:cs="Times New Roman"/>
                <w:sz w:val="24"/>
                <w:szCs w:val="24"/>
              </w:rPr>
              <w:t xml:space="preserve">, toimub </w:t>
            </w:r>
            <w:r w:rsidR="006948C3" w:rsidRPr="00797EDC">
              <w:rPr>
                <w:rFonts w:ascii="Times New Roman" w:eastAsia="Calibri" w:hAnsi="Times New Roman" w:cs="Times New Roman"/>
                <w:sz w:val="24"/>
                <w:szCs w:val="24"/>
              </w:rPr>
              <w:t xml:space="preserve">see </w:t>
            </w:r>
            <w:r w:rsidR="002B5D8F" w:rsidRPr="00797EDC">
              <w:rPr>
                <w:rFonts w:ascii="Times New Roman" w:eastAsia="Calibri" w:hAnsi="Times New Roman" w:cs="Times New Roman"/>
                <w:sz w:val="24"/>
                <w:szCs w:val="24"/>
              </w:rPr>
              <w:t xml:space="preserve">paralleelselt meretuuleparkide arendamisega. </w:t>
            </w:r>
          </w:p>
          <w:p w14:paraId="4DCD0763" w14:textId="77777777" w:rsidR="006948C3" w:rsidRPr="00797EDC" w:rsidRDefault="006948C3" w:rsidP="00473A4B">
            <w:pPr>
              <w:jc w:val="both"/>
              <w:rPr>
                <w:rFonts w:ascii="Times New Roman" w:eastAsia="Calibri" w:hAnsi="Times New Roman" w:cs="Times New Roman"/>
                <w:sz w:val="24"/>
                <w:szCs w:val="24"/>
              </w:rPr>
            </w:pPr>
          </w:p>
          <w:p w14:paraId="363619EB" w14:textId="58F4EE61" w:rsidR="002B5D8F" w:rsidRPr="00797EDC" w:rsidRDefault="002B5D8F" w:rsidP="00FC7027">
            <w:pPr>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Kuigi pikem periood </w:t>
            </w:r>
            <w:proofErr w:type="spellStart"/>
            <w:r w:rsidRPr="00797EDC">
              <w:rPr>
                <w:rFonts w:ascii="Times New Roman" w:eastAsia="Calibri" w:hAnsi="Times New Roman" w:cs="Times New Roman"/>
                <w:sz w:val="24"/>
                <w:szCs w:val="24"/>
              </w:rPr>
              <w:t>CfD</w:t>
            </w:r>
            <w:proofErr w:type="spellEnd"/>
            <w:r w:rsidRPr="00797EDC">
              <w:rPr>
                <w:rFonts w:ascii="Times New Roman" w:eastAsia="Calibri" w:hAnsi="Times New Roman" w:cs="Times New Roman"/>
                <w:sz w:val="24"/>
                <w:szCs w:val="24"/>
              </w:rPr>
              <w:t xml:space="preserve"> ja FID vahel võib lisada määramatust, saavad ettevõtted selliseid perioode prognoosida ja oma finantsotsuseid vastavalt teha. </w:t>
            </w:r>
          </w:p>
          <w:p w14:paraId="0B15B2E6" w14:textId="77777777" w:rsidR="00FC7027" w:rsidRPr="00797EDC" w:rsidRDefault="00FC7027" w:rsidP="00FC7027">
            <w:pPr>
              <w:jc w:val="both"/>
              <w:rPr>
                <w:rFonts w:ascii="Times New Roman" w:eastAsia="Calibri" w:hAnsi="Times New Roman" w:cs="Times New Roman"/>
                <w:sz w:val="24"/>
                <w:szCs w:val="24"/>
              </w:rPr>
            </w:pPr>
          </w:p>
          <w:p w14:paraId="6AF7A1F3" w14:textId="58390EA5" w:rsidR="007F4F0D" w:rsidRPr="00797EDC" w:rsidRDefault="002C504A" w:rsidP="001B752E">
            <w:pPr>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Eelnõu</w:t>
            </w:r>
            <w:r w:rsidR="00D8521F">
              <w:rPr>
                <w:rFonts w:ascii="Times New Roman" w:eastAsia="Calibri" w:hAnsi="Times New Roman" w:cs="Times New Roman"/>
                <w:sz w:val="24"/>
                <w:szCs w:val="24"/>
              </w:rPr>
              <w:t xml:space="preserve"> ja seonduva riigiabiloa</w:t>
            </w:r>
            <w:r w:rsidRPr="00797EDC">
              <w:rPr>
                <w:rFonts w:ascii="Times New Roman" w:eastAsia="Calibri" w:hAnsi="Times New Roman" w:cs="Times New Roman"/>
                <w:sz w:val="24"/>
                <w:szCs w:val="24"/>
              </w:rPr>
              <w:t xml:space="preserve"> koostamisel on kaalutud </w:t>
            </w:r>
            <w:r w:rsidR="00D8521F">
              <w:rPr>
                <w:rFonts w:ascii="Times New Roman" w:eastAsia="Calibri" w:hAnsi="Times New Roman" w:cs="Times New Roman"/>
                <w:sz w:val="24"/>
                <w:szCs w:val="24"/>
              </w:rPr>
              <w:t xml:space="preserve">erinevaid variante (sh </w:t>
            </w:r>
            <w:r w:rsidRPr="00797EDC">
              <w:rPr>
                <w:rFonts w:ascii="Times New Roman" w:eastAsia="Calibri" w:hAnsi="Times New Roman" w:cs="Times New Roman"/>
                <w:sz w:val="24"/>
                <w:szCs w:val="24"/>
              </w:rPr>
              <w:t>indekseerimise kasutuselevõttu</w:t>
            </w:r>
            <w:r w:rsidR="00D8521F">
              <w:rPr>
                <w:rFonts w:ascii="Times New Roman" w:eastAsia="Calibri" w:hAnsi="Times New Roman" w:cs="Times New Roman"/>
                <w:sz w:val="24"/>
                <w:szCs w:val="24"/>
              </w:rPr>
              <w:t xml:space="preserve">). Indekseerimist eelnõu täiendatud versiooni ei lisatud. </w:t>
            </w:r>
          </w:p>
        </w:tc>
      </w:tr>
      <w:tr w:rsidR="007F4F0D" w:rsidRPr="005C0F32" w14:paraId="67798DEA" w14:textId="77777777" w:rsidTr="3199B330">
        <w:trPr>
          <w:trHeight w:val="300"/>
        </w:trPr>
        <w:tc>
          <w:tcPr>
            <w:tcW w:w="10710" w:type="dxa"/>
          </w:tcPr>
          <w:p w14:paraId="13F96560" w14:textId="56C20A55" w:rsidR="0023601C" w:rsidRPr="005C0F32" w:rsidRDefault="0023601C" w:rsidP="007F4F0D">
            <w:pPr>
              <w:rPr>
                <w:rFonts w:ascii="Times New Roman" w:hAnsi="Times New Roman" w:cs="Times New Roman"/>
                <w:b/>
                <w:bCs/>
                <w:sz w:val="24"/>
                <w:szCs w:val="24"/>
              </w:rPr>
            </w:pPr>
            <w:r w:rsidRPr="005C0F32">
              <w:rPr>
                <w:rFonts w:ascii="Times New Roman" w:hAnsi="Times New Roman" w:cs="Times New Roman"/>
                <w:b/>
                <w:bCs/>
                <w:sz w:val="24"/>
                <w:szCs w:val="24"/>
              </w:rPr>
              <w:lastRenderedPageBreak/>
              <w:t xml:space="preserve">Muudatusettepanekud/kommentaarid: </w:t>
            </w:r>
          </w:p>
          <w:p w14:paraId="4EEE685F" w14:textId="77777777" w:rsidR="00CA4CE2" w:rsidRPr="005C0F32" w:rsidRDefault="007F4F0D" w:rsidP="007F4F0D">
            <w:pPr>
              <w:rPr>
                <w:rFonts w:ascii="Times New Roman" w:hAnsi="Times New Roman" w:cs="Times New Roman"/>
                <w:b/>
                <w:bCs/>
                <w:sz w:val="24"/>
                <w:szCs w:val="24"/>
              </w:rPr>
            </w:pPr>
            <w:r w:rsidRPr="005C0F32">
              <w:rPr>
                <w:rFonts w:ascii="Times New Roman" w:hAnsi="Times New Roman" w:cs="Times New Roman"/>
                <w:b/>
                <w:bCs/>
                <w:sz w:val="24"/>
                <w:szCs w:val="24"/>
              </w:rPr>
              <w:lastRenderedPageBreak/>
              <w:t xml:space="preserve">Seaduse eelnõu seletuskirjas lk 1 kirjutatakse: </w:t>
            </w:r>
          </w:p>
          <w:p w14:paraId="0FA2780C" w14:textId="77777777" w:rsidR="00CA4CE2" w:rsidRPr="005C0F32" w:rsidRDefault="007F4F0D" w:rsidP="00CA4CE2">
            <w:pPr>
              <w:jc w:val="both"/>
              <w:rPr>
                <w:rFonts w:ascii="Times New Roman" w:hAnsi="Times New Roman" w:cs="Times New Roman"/>
                <w:i/>
                <w:iCs/>
                <w:sz w:val="24"/>
                <w:szCs w:val="24"/>
              </w:rPr>
            </w:pPr>
            <w:r w:rsidRPr="005C0F32">
              <w:rPr>
                <w:rFonts w:ascii="Times New Roman" w:hAnsi="Times New Roman" w:cs="Times New Roman"/>
                <w:i/>
                <w:iCs/>
                <w:sz w:val="24"/>
                <w:szCs w:val="24"/>
              </w:rPr>
              <w:t xml:space="preserve">…. Kavandatavate vähempakkumistega toetatakse … meretuuleparke kuni 2 </w:t>
            </w:r>
            <w:proofErr w:type="spellStart"/>
            <w:r w:rsidRPr="005C0F32">
              <w:rPr>
                <w:rFonts w:ascii="Times New Roman" w:hAnsi="Times New Roman" w:cs="Times New Roman"/>
                <w:i/>
                <w:iCs/>
                <w:sz w:val="24"/>
                <w:szCs w:val="24"/>
              </w:rPr>
              <w:t>TWh</w:t>
            </w:r>
            <w:proofErr w:type="spellEnd"/>
            <w:r w:rsidRPr="005C0F32">
              <w:rPr>
                <w:rFonts w:ascii="Times New Roman" w:hAnsi="Times New Roman" w:cs="Times New Roman"/>
                <w:i/>
                <w:iCs/>
                <w:sz w:val="24"/>
                <w:szCs w:val="24"/>
              </w:rPr>
              <w:t xml:space="preserve"> mahus aastas (kuni 500 MW toetusalust meretuule tootmisvõimsust). 2 </w:t>
            </w:r>
            <w:proofErr w:type="spellStart"/>
            <w:r w:rsidRPr="005C0F32">
              <w:rPr>
                <w:rFonts w:ascii="Times New Roman" w:hAnsi="Times New Roman" w:cs="Times New Roman"/>
                <w:i/>
                <w:iCs/>
                <w:sz w:val="24"/>
                <w:szCs w:val="24"/>
              </w:rPr>
              <w:t>TWh</w:t>
            </w:r>
            <w:proofErr w:type="spellEnd"/>
            <w:r w:rsidRPr="005C0F32">
              <w:rPr>
                <w:rFonts w:ascii="Times New Roman" w:hAnsi="Times New Roman" w:cs="Times New Roman"/>
                <w:i/>
                <w:iCs/>
                <w:sz w:val="24"/>
                <w:szCs w:val="24"/>
              </w:rPr>
              <w:t xml:space="preserve"> on hinnanguline siseriiklikult tarbitava elektrienergia maht, mille vastu saab meretuulepargi rajamist toetada 2034. aastal. Toetuse abil hoogustatakse meretuuleparkide rajamist (hinnanguliselt 4 </w:t>
            </w:r>
            <w:proofErr w:type="spellStart"/>
            <w:r w:rsidRPr="005C0F32">
              <w:rPr>
                <w:rFonts w:ascii="Times New Roman" w:hAnsi="Times New Roman" w:cs="Times New Roman"/>
                <w:i/>
                <w:iCs/>
                <w:sz w:val="24"/>
                <w:szCs w:val="24"/>
              </w:rPr>
              <w:t>TWh</w:t>
            </w:r>
            <w:proofErr w:type="spellEnd"/>
            <w:r w:rsidRPr="005C0F32">
              <w:rPr>
                <w:rFonts w:ascii="Times New Roman" w:hAnsi="Times New Roman" w:cs="Times New Roman"/>
                <w:i/>
                <w:iCs/>
                <w:sz w:val="24"/>
                <w:szCs w:val="24"/>
              </w:rPr>
              <w:t xml:space="preserve"> tootmismahus, ca 1000 MW). </w:t>
            </w:r>
          </w:p>
          <w:p w14:paraId="2783B0C9" w14:textId="2B26EEC3" w:rsidR="007F4F0D" w:rsidRPr="005C0F32" w:rsidRDefault="007F4F0D" w:rsidP="00CA4CE2">
            <w:pPr>
              <w:jc w:val="both"/>
              <w:rPr>
                <w:rFonts w:ascii="Times New Roman" w:eastAsia="Times New Roman" w:hAnsi="Times New Roman" w:cs="Times New Roman"/>
                <w:b/>
                <w:bCs/>
                <w:color w:val="000000"/>
                <w:sz w:val="24"/>
                <w:szCs w:val="24"/>
                <w:lang w:val="en-US"/>
              </w:rPr>
            </w:pPr>
            <w:r w:rsidRPr="005C0F32">
              <w:rPr>
                <w:rFonts w:ascii="Times New Roman" w:hAnsi="Times New Roman" w:cs="Times New Roman"/>
                <w:sz w:val="24"/>
                <w:szCs w:val="24"/>
              </w:rPr>
              <w:t xml:space="preserve">Eespool toodud rahvusvaheliste trendide ja õppetundide põhjal oleme põhjendatud arvamusel et 2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toetusmehhanism ei ole piisav ja see viib olukorrani kus Eestisse ei rajata meretuuleparke. Meie hinnangul on ca 500 MW (tootlikkusega 2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/a) tuulepargi LCOE rohkem kui kolmandiku võrra kõrgem kui ca 1000 MW (tootlikkusega ca 4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/a). Seletuskirja mõjuhindamise osas lk 19 kirjeldatakse näitena 100 MW meretuulepargi koguinvesteeringut, mis olevat 270-540 miljonit eurot. Kuna 100 MW meretuuleparki mitte keegi enam ei raja, siis on väär kasutada selliseid võrdlusmaterjale. Seletuskirjas väidetakse (lk 19) et meretuulepargi hoolduskulud on ligikaudu 135 000–270 000 eurot aastas 1 MW kohta (mis olevat 5-6 korda kallim kui maismaatuuleparkides). Tegemist on oluliselt ülepaisutatud eeldusega.</w:t>
            </w:r>
          </w:p>
        </w:tc>
        <w:tc>
          <w:tcPr>
            <w:tcW w:w="3282" w:type="dxa"/>
          </w:tcPr>
          <w:p w14:paraId="63042B9E" w14:textId="4E738D91" w:rsidR="007F4F0D" w:rsidRPr="00797EDC" w:rsidRDefault="00D8521F" w:rsidP="1FD60553">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Teadmiseks võetud</w:t>
            </w:r>
          </w:p>
          <w:p w14:paraId="0221D874" w14:textId="017AF6D9" w:rsidR="00237B95" w:rsidRPr="00797EDC" w:rsidRDefault="00237B95" w:rsidP="00D96695">
            <w:pPr>
              <w:jc w:val="both"/>
              <w:rPr>
                <w:rFonts w:ascii="Times New Roman" w:eastAsia="Calibri" w:hAnsi="Times New Roman" w:cs="Times New Roman"/>
                <w:sz w:val="24"/>
                <w:szCs w:val="24"/>
              </w:rPr>
            </w:pPr>
          </w:p>
        </w:tc>
      </w:tr>
      <w:tr w:rsidR="007F4F0D" w:rsidRPr="005C0F32" w14:paraId="62655227" w14:textId="77777777" w:rsidTr="3199B330">
        <w:trPr>
          <w:trHeight w:val="300"/>
        </w:trPr>
        <w:tc>
          <w:tcPr>
            <w:tcW w:w="10710" w:type="dxa"/>
          </w:tcPr>
          <w:p w14:paraId="5A1C7FC3" w14:textId="77777777" w:rsidR="00CA4CE2" w:rsidRPr="005C0F32" w:rsidRDefault="007F4F0D" w:rsidP="007F4F0D">
            <w:pPr>
              <w:rPr>
                <w:rFonts w:ascii="Times New Roman" w:hAnsi="Times New Roman" w:cs="Times New Roman"/>
                <w:b/>
                <w:bCs/>
                <w:sz w:val="24"/>
                <w:szCs w:val="24"/>
              </w:rPr>
            </w:pPr>
            <w:r w:rsidRPr="005C0F32">
              <w:rPr>
                <w:rFonts w:ascii="Times New Roman" w:hAnsi="Times New Roman" w:cs="Times New Roman"/>
                <w:b/>
                <w:bCs/>
                <w:sz w:val="24"/>
                <w:szCs w:val="24"/>
              </w:rPr>
              <w:lastRenderedPageBreak/>
              <w:t>Seletuskirja lk 2 kirjutatakse:</w:t>
            </w:r>
          </w:p>
          <w:p w14:paraId="5C87229B" w14:textId="230B9262" w:rsidR="00CA4CE2" w:rsidRPr="005C0F32" w:rsidRDefault="00CA4CE2" w:rsidP="00CA4CE2">
            <w:pPr>
              <w:jc w:val="both"/>
              <w:rPr>
                <w:rFonts w:ascii="Times New Roman" w:hAnsi="Times New Roman" w:cs="Times New Roman"/>
                <w:i/>
                <w:iCs/>
                <w:sz w:val="24"/>
                <w:szCs w:val="24"/>
              </w:rPr>
            </w:pPr>
            <w:r w:rsidRPr="005C0F32">
              <w:rPr>
                <w:rFonts w:ascii="Times New Roman" w:hAnsi="Times New Roman" w:cs="Times New Roman"/>
                <w:i/>
                <w:iCs/>
                <w:sz w:val="24"/>
                <w:szCs w:val="24"/>
              </w:rPr>
              <w:t>„</w:t>
            </w:r>
            <w:r w:rsidR="007F4F0D" w:rsidRPr="005C0F32">
              <w:rPr>
                <w:rFonts w:ascii="Times New Roman" w:hAnsi="Times New Roman" w:cs="Times New Roman"/>
                <w:i/>
                <w:iCs/>
                <w:sz w:val="24"/>
                <w:szCs w:val="24"/>
              </w:rPr>
              <w:t>Meretuuleparkidele makstakse toetust 20 aastat tootmise alustamisest arvates. …. väljamakstav toetus ei tohi meretuuleparkide puhul olla suurem kui 65 eurot toodetud ja võrku antud megavatt-tunni eest.</w:t>
            </w:r>
            <w:r w:rsidRPr="005C0F32">
              <w:rPr>
                <w:rFonts w:ascii="Times New Roman" w:hAnsi="Times New Roman" w:cs="Times New Roman"/>
                <w:i/>
                <w:iCs/>
                <w:sz w:val="24"/>
                <w:szCs w:val="24"/>
              </w:rPr>
              <w:t>“</w:t>
            </w:r>
          </w:p>
          <w:p w14:paraId="040E28CC" w14:textId="67DB20D3" w:rsidR="007F4F0D" w:rsidRPr="005C0F32" w:rsidRDefault="007F4F0D" w:rsidP="00CA4CE2">
            <w:pPr>
              <w:jc w:val="both"/>
              <w:rPr>
                <w:rFonts w:ascii="Times New Roman" w:eastAsia="Times New Roman" w:hAnsi="Times New Roman" w:cs="Times New Roman"/>
                <w:b/>
                <w:bCs/>
                <w:color w:val="000000"/>
                <w:sz w:val="24"/>
                <w:szCs w:val="24"/>
                <w:lang w:val="en-US"/>
              </w:rPr>
            </w:pPr>
            <w:r w:rsidRPr="005C0F32">
              <w:rPr>
                <w:rFonts w:ascii="Times New Roman" w:hAnsi="Times New Roman" w:cs="Times New Roman"/>
                <w:sz w:val="24"/>
                <w:szCs w:val="24"/>
              </w:rPr>
              <w:t xml:space="preserve">Seletuskirja lk 27 (mõjuhindamise osa) esitatud tabelis 2 on esitatud toetusele kuluva summa arvutused. Tabelis on väide et 1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tootva meretuulepargi toetuseks kulub 65 miljonit eurot aastas ja 2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tootva meretuulepargi toetuseks kulub 130 miljonit eurot aastas. Arvutuse loogika on selline et kõigile toodetavatele megavatt-tundidele (vastavalt 1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või 2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ehk 1 miljon või 2 miljonit MWh) justkui makstaks toetust maksimaalne võimalik summa 65 €/MWh. Selline eeldus on täiesti absurdne. Ei ole võimalik et kõik toodetavad megavatt-tunnid saaksid maksimaalses määras toetust. Selline ekslik eeldus moonutab fundamentaalselt kogu kavandatava </w:t>
            </w:r>
            <w:r w:rsidRPr="00797EDC">
              <w:rPr>
                <w:rFonts w:ascii="Times New Roman" w:hAnsi="Times New Roman" w:cs="Times New Roman"/>
                <w:sz w:val="24"/>
                <w:szCs w:val="24"/>
              </w:rPr>
              <w:t xml:space="preserve">toetusmeetme loogikat ja tõenäoliselt mitmekordselt ülehindab riigi võimalikku kulu meretuulepargi toetusele. Lihtsustatult 2021 aasta näide. Aasta keskmine elektri börsihind Eestis oli 87 €/MWh ja 2 </w:t>
            </w:r>
            <w:proofErr w:type="spellStart"/>
            <w:r w:rsidRPr="00797EDC">
              <w:rPr>
                <w:rFonts w:ascii="Times New Roman" w:hAnsi="Times New Roman" w:cs="Times New Roman"/>
                <w:sz w:val="24"/>
                <w:szCs w:val="24"/>
              </w:rPr>
              <w:t>TWh</w:t>
            </w:r>
            <w:proofErr w:type="spellEnd"/>
            <w:r w:rsidRPr="00797EDC">
              <w:rPr>
                <w:rFonts w:ascii="Times New Roman" w:hAnsi="Times New Roman" w:cs="Times New Roman"/>
                <w:sz w:val="24"/>
                <w:szCs w:val="24"/>
              </w:rPr>
              <w:t xml:space="preserve"> pakkumishind oleks näiteks 100 €/MWh, sellisel juhul oleks </w:t>
            </w:r>
            <w:proofErr w:type="spellStart"/>
            <w:r w:rsidRPr="00797EDC">
              <w:rPr>
                <w:rFonts w:ascii="Times New Roman" w:hAnsi="Times New Roman" w:cs="Times New Roman"/>
                <w:sz w:val="24"/>
                <w:szCs w:val="24"/>
              </w:rPr>
              <w:t>CfD</w:t>
            </w:r>
            <w:proofErr w:type="spellEnd"/>
            <w:r w:rsidRPr="00797EDC">
              <w:rPr>
                <w:rFonts w:ascii="Times New Roman" w:hAnsi="Times New Roman" w:cs="Times New Roman"/>
                <w:sz w:val="24"/>
                <w:szCs w:val="24"/>
              </w:rPr>
              <w:t xml:space="preserve"> kulu riigile 26 miljonit eurot, mis on väga erinev eeldatavast 130’st miljonist eurost. Tegemist on lihtsustusega, kuid see illustreerib siiski erinevuse mastaapsust. On ilmselge et valede eelduste kasutamine viib valede järeldusteni ja halbade</w:t>
            </w:r>
            <w:r w:rsidRPr="005C0F32">
              <w:rPr>
                <w:rFonts w:ascii="Times New Roman" w:hAnsi="Times New Roman" w:cs="Times New Roman"/>
                <w:sz w:val="24"/>
                <w:szCs w:val="24"/>
              </w:rPr>
              <w:t xml:space="preserve"> otsusteni.</w:t>
            </w:r>
          </w:p>
        </w:tc>
        <w:tc>
          <w:tcPr>
            <w:tcW w:w="3282" w:type="dxa"/>
          </w:tcPr>
          <w:p w14:paraId="770463AD" w14:textId="290BAE63" w:rsidR="007F4F0D" w:rsidRPr="00797EDC" w:rsidRDefault="002F027D" w:rsidP="1FD60553">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Teadmiseks võetud</w:t>
            </w:r>
          </w:p>
          <w:p w14:paraId="53FC56B4" w14:textId="4FD0E691" w:rsidR="69ACF809" w:rsidRPr="00797EDC" w:rsidRDefault="69ACF809" w:rsidP="69ACF809">
            <w:pPr>
              <w:pStyle w:val="Loendilik"/>
              <w:ind w:left="-23"/>
              <w:jc w:val="both"/>
              <w:rPr>
                <w:rFonts w:ascii="Times New Roman" w:eastAsia="Calibri" w:hAnsi="Times New Roman" w:cs="Times New Roman"/>
                <w:b/>
                <w:bCs/>
                <w:sz w:val="24"/>
                <w:szCs w:val="24"/>
              </w:rPr>
            </w:pPr>
          </w:p>
          <w:p w14:paraId="5E565C1D" w14:textId="2E28A858" w:rsidR="00E916AF" w:rsidRPr="00797EDC" w:rsidRDefault="00E916AF" w:rsidP="00E916AF">
            <w:pPr>
              <w:pStyle w:val="Loendilik"/>
              <w:ind w:left="-23"/>
              <w:jc w:val="both"/>
              <w:rPr>
                <w:rFonts w:ascii="Times New Roman" w:eastAsia="Calibri" w:hAnsi="Times New Roman" w:cs="Times New Roman"/>
                <w:b/>
                <w:bCs/>
                <w:sz w:val="24"/>
                <w:szCs w:val="24"/>
              </w:rPr>
            </w:pPr>
            <w:r w:rsidRPr="00797EDC">
              <w:rPr>
                <w:rStyle w:val="cf01"/>
                <w:rFonts w:ascii="Times New Roman" w:hAnsi="Times New Roman" w:cs="Times New Roman"/>
                <w:sz w:val="24"/>
                <w:szCs w:val="24"/>
              </w:rPr>
              <w:t>Selgitame, et</w:t>
            </w:r>
            <w:r w:rsidR="002F027D">
              <w:rPr>
                <w:rStyle w:val="cf01"/>
                <w:rFonts w:ascii="Times New Roman" w:hAnsi="Times New Roman" w:cs="Times New Roman"/>
                <w:sz w:val="24"/>
                <w:szCs w:val="24"/>
              </w:rPr>
              <w:t xml:space="preserve"> meretuuleparkide (ja maismaatuuleparkide) toodang toob elektrienergia hinna toodangutundidel alla ning seetõttu hindame, et makstakse välja maksimaalne toetuse maht. Toetusskeemi eelarve on piiratud, et tagada, et taastuvenergia tasu ei muutuks tarbijatele liialt koormavaks</w:t>
            </w:r>
            <w:r w:rsidR="002F027D">
              <w:rPr>
                <w:rStyle w:val="cf01"/>
              </w:rPr>
              <w:t>.</w:t>
            </w:r>
          </w:p>
          <w:p w14:paraId="2E3FD89A" w14:textId="67450825" w:rsidR="00A364C5" w:rsidRPr="00797EDC" w:rsidRDefault="00A364C5" w:rsidP="1FD60553">
            <w:pPr>
              <w:pStyle w:val="Loendilik"/>
              <w:ind w:left="-23"/>
              <w:jc w:val="both"/>
              <w:rPr>
                <w:rFonts w:ascii="Times New Roman" w:eastAsia="Calibri" w:hAnsi="Times New Roman" w:cs="Times New Roman"/>
                <w:sz w:val="24"/>
                <w:szCs w:val="24"/>
              </w:rPr>
            </w:pPr>
          </w:p>
        </w:tc>
      </w:tr>
      <w:tr w:rsidR="007F4F0D" w:rsidRPr="005C0F32" w14:paraId="0AF61258" w14:textId="77777777" w:rsidTr="3199B330">
        <w:trPr>
          <w:trHeight w:val="300"/>
        </w:trPr>
        <w:tc>
          <w:tcPr>
            <w:tcW w:w="10710" w:type="dxa"/>
          </w:tcPr>
          <w:p w14:paraId="02522168" w14:textId="77777777" w:rsidR="00CA4CE2" w:rsidRPr="005C0F32" w:rsidRDefault="007F4F0D" w:rsidP="007F4F0D">
            <w:pPr>
              <w:rPr>
                <w:rFonts w:ascii="Times New Roman" w:hAnsi="Times New Roman" w:cs="Times New Roman"/>
                <w:b/>
                <w:bCs/>
                <w:sz w:val="24"/>
                <w:szCs w:val="24"/>
              </w:rPr>
            </w:pPr>
            <w:r w:rsidRPr="005C0F32">
              <w:rPr>
                <w:rFonts w:ascii="Times New Roman" w:hAnsi="Times New Roman" w:cs="Times New Roman"/>
                <w:b/>
                <w:bCs/>
                <w:sz w:val="24"/>
                <w:szCs w:val="24"/>
              </w:rPr>
              <w:t xml:space="preserve">Seletuskirja lk 18 kirjutatakse: </w:t>
            </w:r>
          </w:p>
          <w:p w14:paraId="672F75E6" w14:textId="521BBB4C" w:rsidR="00CA4CE2" w:rsidRPr="005C0F32" w:rsidRDefault="00CA4CE2" w:rsidP="00CA4CE2">
            <w:pPr>
              <w:jc w:val="both"/>
              <w:rPr>
                <w:rFonts w:ascii="Times New Roman" w:hAnsi="Times New Roman" w:cs="Times New Roman"/>
                <w:i/>
                <w:iCs/>
                <w:sz w:val="24"/>
                <w:szCs w:val="24"/>
              </w:rPr>
            </w:pPr>
            <w:r w:rsidRPr="005C0F32">
              <w:rPr>
                <w:rFonts w:ascii="Times New Roman" w:hAnsi="Times New Roman" w:cs="Times New Roman"/>
                <w:i/>
                <w:iCs/>
                <w:sz w:val="24"/>
                <w:szCs w:val="24"/>
              </w:rPr>
              <w:t>„</w:t>
            </w:r>
            <w:r w:rsidR="007F4F0D" w:rsidRPr="005C0F32">
              <w:rPr>
                <w:rFonts w:ascii="Times New Roman" w:hAnsi="Times New Roman" w:cs="Times New Roman"/>
                <w:i/>
                <w:iCs/>
                <w:sz w:val="24"/>
                <w:szCs w:val="24"/>
              </w:rPr>
              <w:t>Punktiga 18 … Kui tootja ei alusta tootmist vähempakkumise teates sätestatud tootmise alustamise tähtpäevaks, hakkab toetuse maksmise tähtaeg kulgema vähempakkumise teates märgitud tootmise alustamise tähtpäevast. See tähendab, et nii 20-aastane (meretuuleparkide korral) kui ka 12-aastane (muude tootmisseadmete korral) toetuse maksmise tähtaeg hakkab kulgema vähempakkumise teates sätestatud tootmise alustamise tähtpäeval juhul, kui tootmisseade ei ole selleks hetkeks tootmist alustanud.</w:t>
            </w:r>
            <w:r w:rsidRPr="005C0F32">
              <w:rPr>
                <w:rFonts w:ascii="Times New Roman" w:hAnsi="Times New Roman" w:cs="Times New Roman"/>
                <w:i/>
                <w:iCs/>
                <w:sz w:val="24"/>
                <w:szCs w:val="24"/>
              </w:rPr>
              <w:t>“</w:t>
            </w:r>
            <w:r w:rsidR="007F4F0D" w:rsidRPr="005C0F32">
              <w:rPr>
                <w:rFonts w:ascii="Times New Roman" w:hAnsi="Times New Roman" w:cs="Times New Roman"/>
                <w:i/>
                <w:iCs/>
                <w:sz w:val="24"/>
                <w:szCs w:val="24"/>
              </w:rPr>
              <w:t xml:space="preserve"> </w:t>
            </w:r>
          </w:p>
          <w:p w14:paraId="6A3E2B66" w14:textId="58A258A4" w:rsidR="007F4F0D" w:rsidRPr="007C23A0" w:rsidRDefault="007F4F0D" w:rsidP="00CA4CE2">
            <w:pPr>
              <w:jc w:val="both"/>
              <w:rPr>
                <w:rFonts w:ascii="Times New Roman" w:eastAsia="Times New Roman" w:hAnsi="Times New Roman" w:cs="Times New Roman"/>
                <w:b/>
                <w:bCs/>
                <w:color w:val="000000"/>
                <w:sz w:val="24"/>
                <w:szCs w:val="24"/>
              </w:rPr>
            </w:pPr>
            <w:r w:rsidRPr="28C849A4">
              <w:rPr>
                <w:rFonts w:ascii="Times New Roman" w:hAnsi="Times New Roman" w:cs="Times New Roman"/>
                <w:sz w:val="24"/>
                <w:szCs w:val="24"/>
              </w:rPr>
              <w:t xml:space="preserve">Eespool kirjutasime et arusaadavalt on 330 </w:t>
            </w:r>
            <w:proofErr w:type="spellStart"/>
            <w:r w:rsidRPr="28C849A4">
              <w:rPr>
                <w:rFonts w:ascii="Times New Roman" w:hAnsi="Times New Roman" w:cs="Times New Roman"/>
                <w:sz w:val="24"/>
                <w:szCs w:val="24"/>
              </w:rPr>
              <w:t>kV</w:t>
            </w:r>
            <w:proofErr w:type="spellEnd"/>
            <w:r w:rsidRPr="28C849A4">
              <w:rPr>
                <w:rFonts w:ascii="Times New Roman" w:hAnsi="Times New Roman" w:cs="Times New Roman"/>
                <w:sz w:val="24"/>
                <w:szCs w:val="24"/>
              </w:rPr>
              <w:t xml:space="preserve"> elektri ülekandesüsteemi arendamine ja väljaehitamine keerukas ja teatavate ennenägematute asjaoludega. Kuna suur osa 330 </w:t>
            </w:r>
            <w:proofErr w:type="spellStart"/>
            <w:r w:rsidRPr="28C849A4">
              <w:rPr>
                <w:rFonts w:ascii="Times New Roman" w:hAnsi="Times New Roman" w:cs="Times New Roman"/>
                <w:sz w:val="24"/>
                <w:szCs w:val="24"/>
              </w:rPr>
              <w:t>kV</w:t>
            </w:r>
            <w:proofErr w:type="spellEnd"/>
            <w:r w:rsidRPr="28C849A4">
              <w:rPr>
                <w:rFonts w:ascii="Times New Roman" w:hAnsi="Times New Roman" w:cs="Times New Roman"/>
                <w:sz w:val="24"/>
                <w:szCs w:val="24"/>
              </w:rPr>
              <w:t xml:space="preserve"> elektri ülekandesüsteemi </w:t>
            </w:r>
            <w:r w:rsidRPr="28C849A4">
              <w:rPr>
                <w:rFonts w:ascii="Times New Roman" w:hAnsi="Times New Roman" w:cs="Times New Roman"/>
                <w:sz w:val="24"/>
                <w:szCs w:val="24"/>
              </w:rPr>
              <w:lastRenderedPageBreak/>
              <w:t>arendamisest ei ole mõjutatav meretuulepargi arendaja poolt, siis ei saa ka sellega seonduvaid riske jätta meretuulepargi arendaja kanda. Elektrisüsteemi arenduse mittetähtajalise valmimise riski ei saa jätta meretuulepargi arendaja kanda. Seadust tuleb täiendada selliselt et võrgu arendamisega seonduvad riskid, mis ei ole meretuulepargi arendaja vastutusalas, ei tooks kaasa toetusperioodi lühenemist, vaid oleksid õiglaselt kompenseeritud.</w:t>
            </w:r>
          </w:p>
        </w:tc>
        <w:tc>
          <w:tcPr>
            <w:tcW w:w="3282" w:type="dxa"/>
          </w:tcPr>
          <w:p w14:paraId="35218E1A" w14:textId="02810123" w:rsidR="007F4F0D" w:rsidRPr="00797EDC" w:rsidRDefault="00E45883" w:rsidP="013F8064">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Arvestatud</w:t>
            </w:r>
          </w:p>
          <w:p w14:paraId="6E13DC44" w14:textId="19854B73" w:rsidR="007F4F0D" w:rsidRPr="00797EDC" w:rsidRDefault="386A74B6" w:rsidP="00E45883">
            <w:pPr>
              <w:pStyle w:val="Loendilik"/>
              <w:ind w:left="-23"/>
              <w:jc w:val="both"/>
              <w:rPr>
                <w:rFonts w:ascii="Times New Roman" w:eastAsia="Calibri" w:hAnsi="Times New Roman" w:cs="Times New Roman"/>
                <w:sz w:val="24"/>
                <w:szCs w:val="24"/>
              </w:rPr>
            </w:pPr>
            <w:r w:rsidRPr="013F8064">
              <w:rPr>
                <w:rFonts w:ascii="Times New Roman" w:eastAsia="Calibri" w:hAnsi="Times New Roman" w:cs="Times New Roman"/>
                <w:sz w:val="24"/>
                <w:szCs w:val="24"/>
              </w:rPr>
              <w:t>Oleme täiendanud/muutnud ELTS eelnõu §- 59(4) lõi</w:t>
            </w:r>
            <w:r w:rsidR="2003205B" w:rsidRPr="013F8064">
              <w:rPr>
                <w:rFonts w:ascii="Times New Roman" w:eastAsia="Calibri" w:hAnsi="Times New Roman" w:cs="Times New Roman"/>
                <w:sz w:val="24"/>
                <w:szCs w:val="24"/>
              </w:rPr>
              <w:t>keid</w:t>
            </w:r>
            <w:r w:rsidRPr="013F8064">
              <w:rPr>
                <w:rFonts w:ascii="Times New Roman" w:eastAsia="Calibri" w:hAnsi="Times New Roman" w:cs="Times New Roman"/>
                <w:sz w:val="24"/>
                <w:szCs w:val="24"/>
              </w:rPr>
              <w:t xml:space="preserve"> 11(1) j</w:t>
            </w:r>
            <w:r w:rsidR="07BB84BF" w:rsidRPr="013F8064">
              <w:rPr>
                <w:rFonts w:ascii="Times New Roman" w:eastAsia="Calibri" w:hAnsi="Times New Roman" w:cs="Times New Roman"/>
                <w:sz w:val="24"/>
                <w:szCs w:val="24"/>
              </w:rPr>
              <w:t xml:space="preserve">a 11(2) </w:t>
            </w:r>
            <w:r w:rsidR="7FD64F39" w:rsidRPr="013F8064">
              <w:rPr>
                <w:rFonts w:ascii="Times New Roman" w:eastAsia="Calibri" w:hAnsi="Times New Roman" w:cs="Times New Roman"/>
                <w:sz w:val="24"/>
                <w:szCs w:val="24"/>
              </w:rPr>
              <w:t xml:space="preserve">, ELTS § 59(4) lg 4 p 1 sõnastust. </w:t>
            </w:r>
          </w:p>
        </w:tc>
      </w:tr>
      <w:tr w:rsidR="007F4F0D" w:rsidRPr="005C0F32" w14:paraId="23ED937E" w14:textId="77777777" w:rsidTr="3199B330">
        <w:trPr>
          <w:trHeight w:val="300"/>
        </w:trPr>
        <w:tc>
          <w:tcPr>
            <w:tcW w:w="10710" w:type="dxa"/>
          </w:tcPr>
          <w:p w14:paraId="55A45C89" w14:textId="1270F94C" w:rsidR="007F4F0D" w:rsidRPr="005C0F32" w:rsidRDefault="007F4F0D" w:rsidP="00CA4CE2">
            <w:pPr>
              <w:jc w:val="both"/>
              <w:rPr>
                <w:rFonts w:ascii="Times New Roman" w:hAnsi="Times New Roman" w:cs="Times New Roman"/>
                <w:sz w:val="24"/>
                <w:szCs w:val="24"/>
              </w:rPr>
            </w:pPr>
            <w:r w:rsidRPr="005C0F32">
              <w:rPr>
                <w:rFonts w:ascii="Times New Roman" w:hAnsi="Times New Roman" w:cs="Times New Roman"/>
                <w:b/>
                <w:bCs/>
                <w:sz w:val="24"/>
                <w:szCs w:val="24"/>
              </w:rPr>
              <w:t>Seletuskirja lk 28 tabelis 3</w:t>
            </w:r>
            <w:r w:rsidRPr="005C0F32">
              <w:rPr>
                <w:rFonts w:ascii="Times New Roman" w:hAnsi="Times New Roman" w:cs="Times New Roman"/>
                <w:sz w:val="24"/>
                <w:szCs w:val="24"/>
              </w:rPr>
              <w:t xml:space="preserve"> on esitatud taastuvenergia tasumäärad erinevate tarbimismahtude juures. Väga oluline oleks analüüsida ka elektri hinda erinevate tarbimismahtude korral. Näiteks suure tarbimismahu stsenaariumis (mis olemuslikult on majanduskasvu vältimatuks eelduseks) tekib küsimus, et kus ja kuidas vajalik elekter peaks toodetama. Võib tekkida olukord, kus taastuvaid elektritootmisi ei ole piisavalt ja suur osa deltast tuleb toota kallimate ja CO2 rohkete tootmisviisidega. Võib välja kujuneda olukord, kus summaarne kulu on suurem kui võimaliku taastuvenergia tasu mõju.</w:t>
            </w:r>
          </w:p>
        </w:tc>
        <w:tc>
          <w:tcPr>
            <w:tcW w:w="3282" w:type="dxa"/>
          </w:tcPr>
          <w:p w14:paraId="20C1DD1D" w14:textId="32445819" w:rsidR="005C33A3" w:rsidRPr="00797EDC" w:rsidRDefault="00C6328E" w:rsidP="005C33A3">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Teadmiseks võetud</w:t>
            </w:r>
          </w:p>
          <w:p w14:paraId="225E8FDD" w14:textId="77777777" w:rsidR="005C33A3" w:rsidRDefault="005C33A3" w:rsidP="1FD60553">
            <w:pPr>
              <w:pStyle w:val="Loendilik"/>
              <w:ind w:left="-23"/>
              <w:jc w:val="both"/>
              <w:rPr>
                <w:rFonts w:ascii="Times New Roman" w:eastAsia="Calibri" w:hAnsi="Times New Roman" w:cs="Times New Roman"/>
                <w:sz w:val="24"/>
                <w:szCs w:val="24"/>
              </w:rPr>
            </w:pPr>
          </w:p>
          <w:p w14:paraId="1D7EC8E4" w14:textId="02F47B6C" w:rsidR="007F4F0D" w:rsidRPr="005C33A3" w:rsidRDefault="005C33A3" w:rsidP="1FD60553">
            <w:pPr>
              <w:pStyle w:val="Loendilik"/>
              <w:ind w:left="-23"/>
              <w:jc w:val="both"/>
              <w:rPr>
                <w:rFonts w:ascii="Times New Roman" w:eastAsia="Calibri" w:hAnsi="Times New Roman" w:cs="Times New Roman"/>
                <w:color w:val="FF0000"/>
                <w:sz w:val="24"/>
                <w:szCs w:val="24"/>
              </w:rPr>
            </w:pPr>
            <w:r w:rsidRPr="005C33A3">
              <w:rPr>
                <w:rFonts w:ascii="Times New Roman" w:eastAsia="Calibri" w:hAnsi="Times New Roman" w:cs="Times New Roman"/>
                <w:sz w:val="24"/>
                <w:szCs w:val="24"/>
              </w:rPr>
              <w:t>S</w:t>
            </w:r>
            <w:r w:rsidR="00C6328E">
              <w:rPr>
                <w:rFonts w:ascii="Times New Roman" w:eastAsia="Calibri" w:hAnsi="Times New Roman" w:cs="Times New Roman"/>
                <w:sz w:val="24"/>
                <w:szCs w:val="24"/>
              </w:rPr>
              <w:t>elgitame, et s</w:t>
            </w:r>
            <w:r w:rsidRPr="005C33A3">
              <w:rPr>
                <w:rFonts w:ascii="Times New Roman" w:eastAsia="Calibri" w:hAnsi="Times New Roman" w:cs="Times New Roman"/>
                <w:sz w:val="24"/>
                <w:szCs w:val="24"/>
              </w:rPr>
              <w:t>eletuskirjas esitatud tabel esitab näiteid tarbimismahtude ja taastuvenergia tasu seostest.</w:t>
            </w:r>
            <w:r w:rsidR="00C6328E">
              <w:rPr>
                <w:rFonts w:ascii="Times New Roman" w:eastAsia="Calibri" w:hAnsi="Times New Roman" w:cs="Times New Roman"/>
                <w:sz w:val="24"/>
                <w:szCs w:val="24"/>
              </w:rPr>
              <w:t xml:space="preserve"> Paralleelselt Eesti-poolsete tegevustega puhtale energiatootmisele üleminekuks teevad seda ka meie elektrikaubanduspartnerid.</w:t>
            </w:r>
            <w:r w:rsidRPr="005C33A3">
              <w:rPr>
                <w:rFonts w:ascii="Times New Roman" w:eastAsia="Calibri" w:hAnsi="Times New Roman" w:cs="Times New Roman"/>
                <w:sz w:val="24"/>
                <w:szCs w:val="24"/>
              </w:rPr>
              <w:t xml:space="preserve"> </w:t>
            </w:r>
          </w:p>
        </w:tc>
      </w:tr>
      <w:tr w:rsidR="007F4F0D" w:rsidRPr="005C0F32" w14:paraId="5A7DDC82" w14:textId="77777777" w:rsidTr="3199B330">
        <w:trPr>
          <w:trHeight w:val="300"/>
        </w:trPr>
        <w:tc>
          <w:tcPr>
            <w:tcW w:w="10710" w:type="dxa"/>
          </w:tcPr>
          <w:p w14:paraId="397EEEE3" w14:textId="4AB5C24F" w:rsidR="007F4F0D" w:rsidRPr="005C0F32" w:rsidRDefault="006F4B6D" w:rsidP="007F4F0D">
            <w:pPr>
              <w:rPr>
                <w:rFonts w:ascii="Times New Roman" w:hAnsi="Times New Roman" w:cs="Times New Roman"/>
                <w:sz w:val="24"/>
                <w:szCs w:val="24"/>
              </w:rPr>
            </w:pPr>
            <w:r w:rsidRPr="00F07721">
              <w:rPr>
                <w:rFonts w:ascii="Times New Roman" w:eastAsia="Times New Roman" w:hAnsi="Times New Roman" w:cs="Times New Roman"/>
                <w:b/>
                <w:bCs/>
                <w:sz w:val="24"/>
                <w:szCs w:val="24"/>
                <w:highlight w:val="cyan"/>
                <w:shd w:val="clear" w:color="auto" w:fill="FFFFFF"/>
              </w:rPr>
              <w:t>Kaamos Energy OÜ</w:t>
            </w:r>
          </w:p>
        </w:tc>
        <w:tc>
          <w:tcPr>
            <w:tcW w:w="3282" w:type="dxa"/>
          </w:tcPr>
          <w:p w14:paraId="559F4744" w14:textId="77777777" w:rsidR="007F4F0D" w:rsidRPr="00797EDC" w:rsidRDefault="007F4F0D" w:rsidP="1FD60553">
            <w:pPr>
              <w:pStyle w:val="Loendilik"/>
              <w:ind w:left="-23"/>
              <w:jc w:val="both"/>
              <w:rPr>
                <w:rFonts w:ascii="Times New Roman" w:eastAsia="Calibri" w:hAnsi="Times New Roman" w:cs="Times New Roman"/>
                <w:b/>
                <w:bCs/>
                <w:sz w:val="24"/>
                <w:szCs w:val="24"/>
              </w:rPr>
            </w:pPr>
          </w:p>
        </w:tc>
      </w:tr>
      <w:tr w:rsidR="007F4F0D" w:rsidRPr="005C0F32" w14:paraId="494D08FD" w14:textId="77777777" w:rsidTr="3199B330">
        <w:trPr>
          <w:trHeight w:val="300"/>
        </w:trPr>
        <w:tc>
          <w:tcPr>
            <w:tcW w:w="10710" w:type="dxa"/>
          </w:tcPr>
          <w:p w14:paraId="6C2F0D8C" w14:textId="77777777" w:rsidR="006F4B6D" w:rsidRPr="005C0F32" w:rsidRDefault="006F4B6D" w:rsidP="006F4B6D">
            <w:pPr>
              <w:spacing w:before="120" w:after="120"/>
              <w:jc w:val="both"/>
              <w:rPr>
                <w:rFonts w:ascii="Times New Roman" w:eastAsia="Times New Roman" w:hAnsi="Times New Roman" w:cs="Times New Roman"/>
                <w:sz w:val="24"/>
                <w:szCs w:val="24"/>
                <w:shd w:val="clear" w:color="auto" w:fill="FFFFFF"/>
              </w:rPr>
            </w:pPr>
            <w:r w:rsidRPr="005C0F32">
              <w:rPr>
                <w:rFonts w:ascii="Times New Roman" w:eastAsia="Times New Roman" w:hAnsi="Times New Roman" w:cs="Times New Roman"/>
                <w:sz w:val="24"/>
                <w:szCs w:val="24"/>
                <w:shd w:val="clear" w:color="auto" w:fill="FFFFFF"/>
              </w:rPr>
              <w:t>Käesolevaga esitab KC Energy OÜ elektrituruseaduse (ELTS) ja vähempakkumiste tingimuste ja korra muutmise kavandi osas oma täiendavad muudatusettepanekud.</w:t>
            </w:r>
          </w:p>
          <w:p w14:paraId="6427ACDE" w14:textId="77777777" w:rsidR="006F4B6D" w:rsidRPr="005C0F32" w:rsidRDefault="006F4B6D" w:rsidP="006F4B6D">
            <w:pPr>
              <w:spacing w:before="120" w:after="120"/>
              <w:jc w:val="both"/>
              <w:rPr>
                <w:rFonts w:ascii="Times New Roman" w:eastAsia="Times New Roman" w:hAnsi="Times New Roman" w:cs="Times New Roman"/>
                <w:sz w:val="24"/>
                <w:szCs w:val="24"/>
                <w:shd w:val="clear" w:color="auto" w:fill="FFFFFF"/>
              </w:rPr>
            </w:pPr>
            <w:r w:rsidRPr="005C0F32">
              <w:rPr>
                <w:rFonts w:ascii="Times New Roman" w:eastAsia="Times New Roman" w:hAnsi="Times New Roman" w:cs="Times New Roman"/>
                <w:sz w:val="24"/>
                <w:szCs w:val="24"/>
                <w:shd w:val="clear" w:color="auto" w:fill="FFFFFF"/>
              </w:rPr>
              <w:t xml:space="preserve">Eelnõu peamine eesmärk on tagada alates 2030. aastast elektri tootmine taastuvatest energiaallikatest mahus, mis vastab Eestis tarbitavale elektrikogusele. Selle eesmärgi saavutamiseks nähakse peamiste vahenditena uute tuuleparkide lisandumist, kuid kõik </w:t>
            </w:r>
            <w:r w:rsidRPr="005C0F32">
              <w:rPr>
                <w:rFonts w:ascii="Times New Roman" w:eastAsia="Times New Roman" w:hAnsi="Times New Roman" w:cs="Times New Roman"/>
                <w:sz w:val="24"/>
                <w:szCs w:val="24"/>
              </w:rPr>
              <w:t>elektrienergia tootmise osakaalu</w:t>
            </w:r>
            <w:r w:rsidRPr="005C0F32">
              <w:rPr>
                <w:rFonts w:ascii="Times New Roman" w:eastAsia="Times New Roman" w:hAnsi="Times New Roman" w:cs="Times New Roman"/>
                <w:sz w:val="24"/>
                <w:szCs w:val="24"/>
                <w:shd w:val="clear" w:color="auto" w:fill="FFFFFF"/>
              </w:rPr>
              <w:t xml:space="preserve"> prognoosid on ette näinud ka salvestuse ja päikeseenergia projektide lisandumist ajas. Tuuleparkide hoogustamiseks nähakse ette vähemapakkumiste korraldamise võimalus eelnõus sätestatud tingimustel. Turuosalised on olnud aktiivsed ning pakkunud välja täiendavaid taastuvenergia turule tulekut efektiivselt toetavaid lahendusi (nt hübriidpargid), võttes arvesse eesmärki liikuda toetuste või riiklike hinnagarantiide vabale energiasektorile (mitte võtta pikaajalisi kohustusi juurde). Paraku ei ole meile tutvustatud valituks osutunud instrumentide ja vähempakkumiste tingimuste kontekstis kajastatud ühtegi neist, mis seda üleminekut soodustaks ja toetaks otselepingute sõlmimist tootjate ja tarbijate vahel. Puuduvad ka mõjuhinnangud ja analüüsid, millele toetudes väita, et valitud meetmete tingimused vastavad proportsionaalsuse põhimõttele (st et on sobivad, vajalikud ning mõõdukad). Otsustusprotsess on olnud läbipaistmatu ning jätnud turuosalistele õhku mitmeid küsimusi ja küsitavusi, mida annaks lahendada all pakutud täiendustega, et vältida ebavõrdse olukorra tekkimist kus ühed tehnoloogiad on toetatud ning teised, mis peaksid panustame ühisesse energiatootmisse, mitte ja surutakse läbi selle turult välja.  Tänases olukorras on kiirus eraldiseisev väärtus, kuid läbi selle ei tohiks </w:t>
            </w:r>
            <w:r w:rsidRPr="005C0F32">
              <w:rPr>
                <w:rFonts w:ascii="Times New Roman" w:eastAsia="Times New Roman" w:hAnsi="Times New Roman" w:cs="Times New Roman"/>
                <w:sz w:val="24"/>
                <w:szCs w:val="24"/>
                <w:shd w:val="clear" w:color="auto" w:fill="FFFFFF"/>
              </w:rPr>
              <w:lastRenderedPageBreak/>
              <w:t xml:space="preserve">kuidagi jõuda olukorrani, kus läbipaistmatu protsessi tulemusena jõustatav seaduseelnõu eelistab ebaproportsionaalselt teatud turuosalisi ning seda teiste osaliste arvelt. </w:t>
            </w:r>
          </w:p>
          <w:p w14:paraId="21C1222D" w14:textId="49A3BCA7" w:rsidR="007F4F0D" w:rsidRPr="005C0F32" w:rsidRDefault="006F4B6D" w:rsidP="006F4B6D">
            <w:pPr>
              <w:spacing w:before="120" w:after="120"/>
              <w:jc w:val="both"/>
              <w:rPr>
                <w:rFonts w:ascii="Times New Roman" w:eastAsia="Times New Roman" w:hAnsi="Times New Roman" w:cs="Times New Roman"/>
                <w:sz w:val="24"/>
                <w:szCs w:val="24"/>
                <w:shd w:val="clear" w:color="auto" w:fill="FFFFFF"/>
              </w:rPr>
            </w:pPr>
            <w:r w:rsidRPr="005C0F32">
              <w:rPr>
                <w:rFonts w:ascii="Times New Roman" w:eastAsia="Times New Roman" w:hAnsi="Times New Roman" w:cs="Times New Roman"/>
                <w:sz w:val="24"/>
                <w:szCs w:val="24"/>
                <w:shd w:val="clear" w:color="auto" w:fill="FFFFFF"/>
              </w:rPr>
              <w:t xml:space="preserve">Samuti on oluline ära märkida, et oleme tänaseks olnud pikalt neto importiv riik. Selle taustal määrata tootjatele täiendavaid bilansienergia tasusid 5,31€/MWh ei saa olla kuidagi põhjendatud, kuivõrd lükkab Eesti arendajad ja TE tootjad teiste riikide konkurentsis täielikult välja ning suurendab tõenäosust jätkata elektri neto importimist. </w:t>
            </w:r>
          </w:p>
        </w:tc>
        <w:tc>
          <w:tcPr>
            <w:tcW w:w="3282" w:type="dxa"/>
          </w:tcPr>
          <w:p w14:paraId="63077B28" w14:textId="0F238C5B" w:rsidR="007F4F0D" w:rsidRPr="00797EDC" w:rsidRDefault="001B4129" w:rsidP="1FD60553">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Teadmiseks võetud</w:t>
            </w:r>
          </w:p>
          <w:p w14:paraId="08CD943E" w14:textId="72C3B8D1" w:rsidR="69ACF809" w:rsidRPr="00797EDC" w:rsidRDefault="69ACF809" w:rsidP="69ACF809">
            <w:pPr>
              <w:pStyle w:val="Loendilik"/>
              <w:ind w:left="-23"/>
              <w:jc w:val="both"/>
              <w:rPr>
                <w:rFonts w:ascii="Times New Roman" w:eastAsia="Calibri" w:hAnsi="Times New Roman" w:cs="Times New Roman"/>
                <w:b/>
                <w:bCs/>
                <w:sz w:val="24"/>
                <w:szCs w:val="24"/>
              </w:rPr>
            </w:pPr>
          </w:p>
          <w:p w14:paraId="0948CF80" w14:textId="61CC2DF6" w:rsidR="003F2774" w:rsidRPr="00797EDC" w:rsidRDefault="001B4129" w:rsidP="000F26CA">
            <w:pPr>
              <w:pStyle w:val="Loendilik"/>
              <w:ind w:left="-23"/>
              <w:jc w:val="both"/>
              <w:rPr>
                <w:rFonts w:ascii="Times New Roman" w:eastAsia="Calibri" w:hAnsi="Times New Roman" w:cs="Times New Roman"/>
                <w:sz w:val="24"/>
                <w:szCs w:val="24"/>
              </w:rPr>
            </w:pPr>
            <w:r>
              <w:rPr>
                <w:rFonts w:ascii="Times New Roman" w:eastAsia="Calibri" w:hAnsi="Times New Roman" w:cs="Times New Roman"/>
                <w:sz w:val="24"/>
                <w:szCs w:val="24"/>
              </w:rPr>
              <w:t>Selgitame, et t</w:t>
            </w:r>
            <w:r w:rsidR="00F46A60" w:rsidRPr="00797EDC">
              <w:rPr>
                <w:rFonts w:ascii="Times New Roman" w:eastAsia="Calibri" w:hAnsi="Times New Roman" w:cs="Times New Roman"/>
                <w:sz w:val="24"/>
                <w:szCs w:val="24"/>
              </w:rPr>
              <w:t xml:space="preserve">uruosalisi </w:t>
            </w:r>
            <w:r w:rsidR="00166B31" w:rsidRPr="00797EDC">
              <w:rPr>
                <w:rFonts w:ascii="Times New Roman" w:eastAsia="Calibri" w:hAnsi="Times New Roman" w:cs="Times New Roman"/>
                <w:sz w:val="24"/>
                <w:szCs w:val="24"/>
              </w:rPr>
              <w:t xml:space="preserve">on möödunud 15 kuu jooksul kaasatud nii kahepoolselt kui ka läbi </w:t>
            </w:r>
            <w:r w:rsidR="006259EE" w:rsidRPr="00797EDC">
              <w:rPr>
                <w:rFonts w:ascii="Times New Roman" w:eastAsia="Calibri" w:hAnsi="Times New Roman" w:cs="Times New Roman"/>
                <w:sz w:val="24"/>
                <w:szCs w:val="24"/>
              </w:rPr>
              <w:t xml:space="preserve">taastuvenergia nõukoja arutelude. </w:t>
            </w:r>
            <w:r w:rsidR="008A49D5" w:rsidRPr="00797EDC">
              <w:rPr>
                <w:rFonts w:ascii="Times New Roman" w:eastAsia="Calibri" w:hAnsi="Times New Roman" w:cs="Times New Roman"/>
                <w:sz w:val="24"/>
                <w:szCs w:val="24"/>
              </w:rPr>
              <w:t xml:space="preserve">Arutluse all on olnud kõik </w:t>
            </w:r>
            <w:r w:rsidR="00746EA6" w:rsidRPr="00797EDC">
              <w:rPr>
                <w:rFonts w:ascii="Times New Roman" w:eastAsia="Calibri" w:hAnsi="Times New Roman" w:cs="Times New Roman"/>
                <w:sz w:val="24"/>
                <w:szCs w:val="24"/>
              </w:rPr>
              <w:t>erinevad ettepanekud</w:t>
            </w:r>
            <w:r w:rsidR="008C4E7E" w:rsidRPr="00797EDC">
              <w:rPr>
                <w:rFonts w:ascii="Times New Roman" w:eastAsia="Calibri" w:hAnsi="Times New Roman" w:cs="Times New Roman"/>
                <w:sz w:val="24"/>
                <w:szCs w:val="24"/>
              </w:rPr>
              <w:t>,</w:t>
            </w:r>
            <w:r w:rsidR="00EC29BB" w:rsidRPr="00797EDC">
              <w:rPr>
                <w:rFonts w:ascii="Times New Roman" w:eastAsia="Calibri" w:hAnsi="Times New Roman" w:cs="Times New Roman"/>
                <w:sz w:val="24"/>
                <w:szCs w:val="24"/>
              </w:rPr>
              <w:t xml:space="preserve"> </w:t>
            </w:r>
            <w:r w:rsidR="003F7329" w:rsidRPr="00797EDC">
              <w:rPr>
                <w:rFonts w:ascii="Times New Roman" w:eastAsia="Calibri" w:hAnsi="Times New Roman" w:cs="Times New Roman"/>
                <w:sz w:val="24"/>
                <w:szCs w:val="24"/>
              </w:rPr>
              <w:t xml:space="preserve">millele tuginedes </w:t>
            </w:r>
            <w:r w:rsidR="00D10F58" w:rsidRPr="00797EDC">
              <w:rPr>
                <w:rFonts w:ascii="Times New Roman" w:eastAsia="Calibri" w:hAnsi="Times New Roman" w:cs="Times New Roman"/>
                <w:sz w:val="24"/>
                <w:szCs w:val="24"/>
              </w:rPr>
              <w:t xml:space="preserve">on </w:t>
            </w:r>
            <w:r w:rsidR="000F26CA" w:rsidRPr="00797EDC">
              <w:rPr>
                <w:rFonts w:ascii="Times New Roman" w:eastAsia="Calibri" w:hAnsi="Times New Roman" w:cs="Times New Roman"/>
                <w:sz w:val="24"/>
                <w:szCs w:val="24"/>
              </w:rPr>
              <w:t xml:space="preserve">praegused põhimõtted </w:t>
            </w:r>
            <w:r w:rsidR="00D10F58" w:rsidRPr="00797EDC">
              <w:rPr>
                <w:rFonts w:ascii="Times New Roman" w:eastAsia="Calibri" w:hAnsi="Times New Roman" w:cs="Times New Roman"/>
                <w:sz w:val="24"/>
                <w:szCs w:val="24"/>
              </w:rPr>
              <w:t xml:space="preserve">kinnitatud </w:t>
            </w:r>
            <w:r w:rsidR="006259EE" w:rsidRPr="00797EDC">
              <w:rPr>
                <w:rFonts w:ascii="Times New Roman" w:eastAsia="Calibri" w:hAnsi="Times New Roman" w:cs="Times New Roman"/>
                <w:sz w:val="24"/>
                <w:szCs w:val="24"/>
              </w:rPr>
              <w:t>Vabariigi Valitsus</w:t>
            </w:r>
            <w:r w:rsidR="00D10F58" w:rsidRPr="00797EDC">
              <w:rPr>
                <w:rFonts w:ascii="Times New Roman" w:eastAsia="Calibri" w:hAnsi="Times New Roman" w:cs="Times New Roman"/>
                <w:sz w:val="24"/>
                <w:szCs w:val="24"/>
              </w:rPr>
              <w:t>e</w:t>
            </w:r>
            <w:r w:rsidR="006259EE" w:rsidRPr="00797EDC">
              <w:rPr>
                <w:rFonts w:ascii="Times New Roman" w:eastAsia="Calibri" w:hAnsi="Times New Roman" w:cs="Times New Roman"/>
                <w:sz w:val="24"/>
                <w:szCs w:val="24"/>
              </w:rPr>
              <w:t xml:space="preserve"> 22.02.2024</w:t>
            </w:r>
            <w:r w:rsidR="00D10F58" w:rsidRPr="00797EDC">
              <w:rPr>
                <w:rFonts w:ascii="Times New Roman" w:eastAsia="Calibri" w:hAnsi="Times New Roman" w:cs="Times New Roman"/>
                <w:sz w:val="24"/>
                <w:szCs w:val="24"/>
              </w:rPr>
              <w:t xml:space="preserve"> otsusega</w:t>
            </w:r>
            <w:r w:rsidR="006259EE" w:rsidRPr="00797EDC">
              <w:rPr>
                <w:rFonts w:ascii="Times New Roman" w:eastAsia="Calibri" w:hAnsi="Times New Roman" w:cs="Times New Roman"/>
                <w:sz w:val="24"/>
                <w:szCs w:val="24"/>
              </w:rPr>
              <w:t>.</w:t>
            </w:r>
          </w:p>
        </w:tc>
      </w:tr>
      <w:tr w:rsidR="007F4F0D" w:rsidRPr="005C0F32" w14:paraId="5122277E" w14:textId="77777777" w:rsidTr="3199B330">
        <w:trPr>
          <w:trHeight w:val="300"/>
        </w:trPr>
        <w:tc>
          <w:tcPr>
            <w:tcW w:w="10710" w:type="dxa"/>
          </w:tcPr>
          <w:p w14:paraId="64092D12" w14:textId="03AE327E" w:rsidR="006F4B6D" w:rsidRPr="005C0F32" w:rsidRDefault="006F4B6D" w:rsidP="006F4B6D">
            <w:pPr>
              <w:spacing w:before="120" w:after="120"/>
              <w:jc w:val="both"/>
              <w:rPr>
                <w:rFonts w:ascii="Times New Roman" w:eastAsia="Times New Roman" w:hAnsi="Times New Roman" w:cs="Times New Roman"/>
                <w:b/>
                <w:bCs/>
                <w:sz w:val="24"/>
                <w:szCs w:val="24"/>
                <w:shd w:val="clear" w:color="auto" w:fill="FFFFFF"/>
              </w:rPr>
            </w:pPr>
            <w:r w:rsidRPr="005C0F32">
              <w:rPr>
                <w:rFonts w:ascii="Times New Roman" w:eastAsia="Times New Roman" w:hAnsi="Times New Roman" w:cs="Times New Roman"/>
                <w:b/>
                <w:bCs/>
                <w:sz w:val="24"/>
                <w:szCs w:val="24"/>
                <w:shd w:val="clear" w:color="auto" w:fill="FFFFFF"/>
              </w:rPr>
              <w:t xml:space="preserve">Täiendada eelnõu punktis 14 ettenähtud </w:t>
            </w:r>
            <w:bookmarkStart w:id="0" w:name="_Hlk177976967"/>
            <w:r w:rsidRPr="005C0F32">
              <w:rPr>
                <w:rFonts w:ascii="Times New Roman" w:eastAsia="Times New Roman" w:hAnsi="Times New Roman" w:cs="Times New Roman"/>
                <w:b/>
                <w:bCs/>
                <w:sz w:val="24"/>
                <w:szCs w:val="24"/>
                <w:shd w:val="clear" w:color="auto" w:fill="FFFFFF"/>
              </w:rPr>
              <w:t>ELTS §59</w:t>
            </w:r>
            <w:r w:rsidRPr="005C0F32">
              <w:rPr>
                <w:rFonts w:ascii="Times New Roman" w:eastAsia="Times New Roman" w:hAnsi="Times New Roman" w:cs="Times New Roman"/>
                <w:b/>
                <w:bCs/>
                <w:sz w:val="24"/>
                <w:szCs w:val="24"/>
                <w:shd w:val="clear" w:color="auto" w:fill="FFFFFF"/>
                <w:vertAlign w:val="superscript"/>
              </w:rPr>
              <w:t xml:space="preserve">4 </w:t>
            </w:r>
            <w:r w:rsidRPr="005C0F32">
              <w:rPr>
                <w:rFonts w:ascii="Times New Roman" w:eastAsia="Times New Roman" w:hAnsi="Times New Roman" w:cs="Times New Roman"/>
                <w:b/>
                <w:bCs/>
                <w:sz w:val="24"/>
                <w:szCs w:val="24"/>
                <w:shd w:val="clear" w:color="auto" w:fill="FFFFFF"/>
              </w:rPr>
              <w:t xml:space="preserve">lg 5 </w:t>
            </w:r>
            <w:r w:rsidRPr="005C0F32">
              <w:rPr>
                <w:rFonts w:ascii="Times New Roman" w:eastAsia="Times New Roman" w:hAnsi="Times New Roman" w:cs="Times New Roman"/>
                <w:b/>
                <w:bCs/>
                <w:sz w:val="24"/>
                <w:szCs w:val="24"/>
                <w:shd w:val="clear" w:color="auto" w:fill="FFFFFF"/>
                <w:vertAlign w:val="superscript"/>
              </w:rPr>
              <w:t>2</w:t>
            </w:r>
            <w:r w:rsidRPr="005C0F32">
              <w:rPr>
                <w:rFonts w:ascii="Times New Roman" w:eastAsia="Times New Roman" w:hAnsi="Times New Roman" w:cs="Times New Roman"/>
                <w:b/>
                <w:bCs/>
                <w:sz w:val="24"/>
                <w:szCs w:val="24"/>
                <w:shd w:val="clear" w:color="auto" w:fill="FFFFFF"/>
              </w:rPr>
              <w:t xml:space="preserve"> </w:t>
            </w:r>
            <w:bookmarkEnd w:id="0"/>
            <w:r w:rsidRPr="005C0F32">
              <w:rPr>
                <w:rFonts w:ascii="Times New Roman" w:eastAsia="Times New Roman" w:hAnsi="Times New Roman" w:cs="Times New Roman"/>
                <w:b/>
                <w:bCs/>
                <w:sz w:val="24"/>
                <w:szCs w:val="24"/>
                <w:shd w:val="clear" w:color="auto" w:fill="FFFFFF"/>
              </w:rPr>
              <w:t>sõnastust järgmiselt:</w:t>
            </w:r>
          </w:p>
          <w:p w14:paraId="1C921D97" w14:textId="77777777" w:rsidR="009A4C5B" w:rsidRPr="005C0F32" w:rsidRDefault="006F4B6D" w:rsidP="009A4C5B">
            <w:pPr>
              <w:spacing w:before="120" w:after="120"/>
              <w:jc w:val="both"/>
              <w:rPr>
                <w:rFonts w:ascii="Times New Roman" w:eastAsia="Times New Roman" w:hAnsi="Times New Roman" w:cs="Times New Roman"/>
                <w:strike/>
                <w:sz w:val="24"/>
                <w:szCs w:val="24"/>
                <w:shd w:val="clear" w:color="auto" w:fill="FFFFFF"/>
              </w:rPr>
            </w:pPr>
            <w:r w:rsidRPr="005C0F32">
              <w:rPr>
                <w:rFonts w:ascii="Times New Roman" w:eastAsia="Times New Roman" w:hAnsi="Times New Roman" w:cs="Times New Roman"/>
                <w:sz w:val="24"/>
                <w:szCs w:val="24"/>
                <w:shd w:val="clear" w:color="auto" w:fill="FFFFFF"/>
              </w:rPr>
              <w:t>(5</w:t>
            </w:r>
            <w:r w:rsidRPr="005C0F32">
              <w:rPr>
                <w:rFonts w:ascii="Times New Roman" w:eastAsia="Times New Roman" w:hAnsi="Times New Roman" w:cs="Times New Roman"/>
                <w:sz w:val="24"/>
                <w:szCs w:val="24"/>
                <w:shd w:val="clear" w:color="auto" w:fill="FFFFFF"/>
                <w:vertAlign w:val="superscript"/>
              </w:rPr>
              <w:t>2</w:t>
            </w:r>
            <w:r w:rsidRPr="005C0F32">
              <w:rPr>
                <w:rFonts w:ascii="Times New Roman" w:eastAsia="Times New Roman" w:hAnsi="Times New Roman" w:cs="Times New Roman"/>
                <w:sz w:val="24"/>
                <w:szCs w:val="24"/>
                <w:shd w:val="clear" w:color="auto" w:fill="FFFFFF"/>
              </w:rPr>
              <w:t>) Sõltuvalt elektrisüsteemi vajadustest võib vähempakkumine olla suunatud taastuvast energiaallikast sellise täiendava elektrienergia tootmisele, mida toodetakse</w:t>
            </w:r>
            <w:r w:rsidRPr="005C0F32">
              <w:rPr>
                <w:rFonts w:ascii="Times New Roman" w:eastAsia="Times New Roman" w:hAnsi="Times New Roman" w:cs="Times New Roman"/>
                <w:strike/>
                <w:sz w:val="24"/>
                <w:szCs w:val="24"/>
                <w:shd w:val="clear" w:color="auto" w:fill="FFFFFF"/>
              </w:rPr>
              <w:t xml:space="preserve"> </w:t>
            </w:r>
          </w:p>
          <w:p w14:paraId="27603916" w14:textId="19563DEB" w:rsidR="006F4B6D" w:rsidRPr="005C0F32" w:rsidRDefault="006F4B6D" w:rsidP="009A4C5B">
            <w:pPr>
              <w:spacing w:before="120" w:after="120"/>
              <w:rPr>
                <w:rFonts w:ascii="Times New Roman" w:eastAsia="Times New Roman" w:hAnsi="Times New Roman" w:cs="Times New Roman"/>
                <w:strike/>
                <w:sz w:val="24"/>
                <w:szCs w:val="24"/>
                <w:shd w:val="clear" w:color="auto" w:fill="FFFFFF"/>
              </w:rPr>
            </w:pPr>
            <w:r w:rsidRPr="005C0F32">
              <w:rPr>
                <w:rFonts w:ascii="Times New Roman" w:eastAsia="Times New Roman" w:hAnsi="Times New Roman" w:cs="Times New Roman"/>
                <w:sz w:val="24"/>
                <w:szCs w:val="24"/>
                <w:shd w:val="clear" w:color="auto" w:fill="FFFFFF"/>
              </w:rPr>
              <w:br/>
              <w:t>1) uue reguleeritava tootmisvõimsusega tootmisseadmega;</w:t>
            </w:r>
            <w:r w:rsidRPr="005C0F32">
              <w:rPr>
                <w:rFonts w:ascii="Times New Roman" w:eastAsia="Times New Roman" w:hAnsi="Times New Roman" w:cs="Times New Roman"/>
                <w:sz w:val="24"/>
                <w:szCs w:val="24"/>
                <w:shd w:val="clear" w:color="auto" w:fill="FFFFFF"/>
              </w:rPr>
              <w:br/>
              <w:t>2) olemasoleva tootmisseadmega või</w:t>
            </w:r>
            <w:r w:rsidRPr="005C0F32">
              <w:rPr>
                <w:rFonts w:ascii="Times New Roman" w:eastAsia="Times New Roman" w:hAnsi="Times New Roman" w:cs="Times New Roman"/>
                <w:sz w:val="24"/>
                <w:szCs w:val="24"/>
                <w:shd w:val="clear" w:color="auto" w:fill="FFFFFF"/>
              </w:rPr>
              <w:br/>
              <w:t>3) uue reguleerimisvõimaluseta tootmisvõimsusega tootmisseadmega;</w:t>
            </w:r>
          </w:p>
          <w:p w14:paraId="3E103A25" w14:textId="77777777" w:rsidR="006F4B6D" w:rsidRPr="005C0F32" w:rsidRDefault="006F4B6D" w:rsidP="006F4B6D">
            <w:pPr>
              <w:spacing w:before="120" w:after="120"/>
              <w:rPr>
                <w:rFonts w:ascii="Times New Roman" w:eastAsia="Times New Roman" w:hAnsi="Times New Roman" w:cs="Times New Roman"/>
                <w:sz w:val="24"/>
                <w:szCs w:val="24"/>
                <w:u w:val="single"/>
                <w:shd w:val="clear" w:color="auto" w:fill="FFFFFF"/>
              </w:rPr>
            </w:pPr>
            <w:r w:rsidRPr="005C0F32">
              <w:rPr>
                <w:rFonts w:ascii="Times New Roman" w:eastAsia="Times New Roman" w:hAnsi="Times New Roman" w:cs="Times New Roman"/>
                <w:sz w:val="24"/>
                <w:szCs w:val="24"/>
                <w:shd w:val="clear" w:color="auto" w:fill="FFFFFF"/>
              </w:rPr>
              <w:t xml:space="preserve">4) </w:t>
            </w:r>
            <w:r w:rsidRPr="005C0F32">
              <w:rPr>
                <w:rFonts w:ascii="Times New Roman" w:eastAsia="Times New Roman" w:hAnsi="Times New Roman" w:cs="Times New Roman"/>
                <w:sz w:val="24"/>
                <w:szCs w:val="24"/>
                <w:u w:val="single"/>
                <w:shd w:val="clear" w:color="auto" w:fill="FFFFFF"/>
              </w:rPr>
              <w:t>70% ulatuses</w:t>
            </w:r>
            <w:r w:rsidRPr="005C0F32">
              <w:rPr>
                <w:rFonts w:ascii="Times New Roman" w:eastAsia="Times New Roman" w:hAnsi="Times New Roman" w:cs="Times New Roman"/>
                <w:sz w:val="24"/>
                <w:szCs w:val="24"/>
                <w:shd w:val="clear" w:color="auto" w:fill="FFFFFF"/>
              </w:rPr>
              <w:t xml:space="preserve"> uue </w:t>
            </w:r>
            <w:r w:rsidRPr="005C0F32">
              <w:rPr>
                <w:rFonts w:ascii="Times New Roman" w:eastAsia="Times New Roman" w:hAnsi="Times New Roman" w:cs="Times New Roman"/>
                <w:strike/>
                <w:sz w:val="24"/>
                <w:szCs w:val="24"/>
                <w:shd w:val="clear" w:color="auto" w:fill="FFFFFF"/>
              </w:rPr>
              <w:t>maismaal</w:t>
            </w:r>
            <w:r w:rsidRPr="005C0F32">
              <w:rPr>
                <w:rFonts w:ascii="Times New Roman" w:eastAsia="Times New Roman" w:hAnsi="Times New Roman" w:cs="Times New Roman"/>
                <w:sz w:val="24"/>
                <w:szCs w:val="24"/>
                <w:shd w:val="clear" w:color="auto" w:fill="FFFFFF"/>
              </w:rPr>
              <w:t xml:space="preserve"> tuuleenergiat tootmiseks kasutava tootmisseadmega (edaspidi ka </w:t>
            </w:r>
            <w:r w:rsidRPr="005C0F32">
              <w:rPr>
                <w:rFonts w:ascii="Times New Roman" w:eastAsia="Times New Roman" w:hAnsi="Times New Roman" w:cs="Times New Roman"/>
                <w:strike/>
                <w:sz w:val="24"/>
                <w:szCs w:val="24"/>
                <w:shd w:val="clear" w:color="auto" w:fill="FFFFFF"/>
              </w:rPr>
              <w:t>maismaa</w:t>
            </w:r>
            <w:r w:rsidRPr="005C0F32">
              <w:rPr>
                <w:rFonts w:ascii="Times New Roman" w:eastAsia="Times New Roman" w:hAnsi="Times New Roman" w:cs="Times New Roman"/>
                <w:sz w:val="24"/>
                <w:szCs w:val="24"/>
                <w:shd w:val="clear" w:color="auto" w:fill="FFFFFF"/>
              </w:rPr>
              <w:t xml:space="preserve">tuulepark) </w:t>
            </w:r>
            <w:r w:rsidRPr="005C0F32">
              <w:rPr>
                <w:rFonts w:ascii="Times New Roman" w:eastAsia="Times New Roman" w:hAnsi="Times New Roman" w:cs="Times New Roman"/>
                <w:sz w:val="24"/>
                <w:szCs w:val="24"/>
                <w:u w:val="single"/>
                <w:shd w:val="clear" w:color="auto" w:fill="FFFFFF"/>
              </w:rPr>
              <w:t>ja 30% ulatuses punktis 1 või 3 nimetatud tootmisseadmega;</w:t>
            </w:r>
          </w:p>
          <w:p w14:paraId="7DFDBEB7" w14:textId="3B8010DA" w:rsidR="006F4B6D" w:rsidRPr="005C0F32" w:rsidRDefault="006F4B6D" w:rsidP="001C7387">
            <w:pPr>
              <w:spacing w:before="120" w:after="120"/>
              <w:rPr>
                <w:rFonts w:ascii="Times New Roman" w:eastAsia="Times New Roman" w:hAnsi="Times New Roman" w:cs="Times New Roman"/>
                <w:strike/>
                <w:sz w:val="24"/>
                <w:szCs w:val="24"/>
                <w:shd w:val="clear" w:color="auto" w:fill="FFFFFF"/>
              </w:rPr>
            </w:pPr>
            <w:r w:rsidRPr="005C0F32">
              <w:rPr>
                <w:rFonts w:ascii="Times New Roman" w:eastAsia="Times New Roman" w:hAnsi="Times New Roman" w:cs="Times New Roman"/>
                <w:strike/>
                <w:sz w:val="24"/>
                <w:szCs w:val="24"/>
                <w:shd w:val="clear" w:color="auto" w:fill="FFFFFF"/>
              </w:rPr>
              <w:t>5) uue merel tuuleenergiat tootmiseks kasutava tootmisseadmega (edaspidi ka meretuulepark).</w:t>
            </w:r>
          </w:p>
          <w:p w14:paraId="0A8A7024" w14:textId="77777777" w:rsidR="006F4B6D" w:rsidRPr="005C0F32" w:rsidRDefault="006F4B6D" w:rsidP="006F4B6D">
            <w:pPr>
              <w:spacing w:before="120" w:after="120"/>
              <w:jc w:val="both"/>
              <w:rPr>
                <w:rFonts w:ascii="Times New Roman" w:eastAsia="Times New Roman" w:hAnsi="Times New Roman" w:cs="Times New Roman"/>
                <w:b/>
                <w:bCs/>
                <w:sz w:val="24"/>
                <w:szCs w:val="24"/>
                <w:shd w:val="clear" w:color="auto" w:fill="FFFFFF"/>
              </w:rPr>
            </w:pPr>
            <w:r w:rsidRPr="005C0F32">
              <w:rPr>
                <w:rFonts w:ascii="Times New Roman" w:eastAsia="Times New Roman" w:hAnsi="Times New Roman" w:cs="Times New Roman"/>
                <w:b/>
                <w:bCs/>
                <w:sz w:val="24"/>
                <w:szCs w:val="24"/>
                <w:shd w:val="clear" w:color="auto" w:fill="FFFFFF"/>
              </w:rPr>
              <w:t xml:space="preserve">Selgitus: </w:t>
            </w:r>
          </w:p>
          <w:p w14:paraId="7BFCB9B7" w14:textId="77777777" w:rsidR="006F4B6D" w:rsidRPr="005C0F32" w:rsidRDefault="006F4B6D" w:rsidP="006F4B6D">
            <w:pPr>
              <w:spacing w:before="120" w:after="120"/>
              <w:jc w:val="both"/>
              <w:rPr>
                <w:rFonts w:ascii="Times New Roman" w:eastAsia="Times New Roman" w:hAnsi="Times New Roman" w:cs="Times New Roman"/>
                <w:sz w:val="24"/>
                <w:szCs w:val="24"/>
                <w:shd w:val="clear" w:color="auto" w:fill="FFFFFF"/>
              </w:rPr>
            </w:pPr>
            <w:r w:rsidRPr="005C0F32">
              <w:rPr>
                <w:rFonts w:ascii="Times New Roman" w:eastAsia="Times New Roman" w:hAnsi="Times New Roman" w:cs="Times New Roman"/>
                <w:sz w:val="24"/>
                <w:szCs w:val="24"/>
                <w:u w:val="single"/>
                <w:shd w:val="clear" w:color="auto" w:fill="FFFFFF"/>
              </w:rPr>
              <w:t>Esiteks:</w:t>
            </w:r>
            <w:r w:rsidRPr="005C0F32">
              <w:rPr>
                <w:rFonts w:ascii="Times New Roman" w:eastAsia="Times New Roman" w:hAnsi="Times New Roman" w:cs="Times New Roman"/>
                <w:sz w:val="24"/>
                <w:szCs w:val="24"/>
                <w:shd w:val="clear" w:color="auto" w:fill="FFFFFF"/>
              </w:rPr>
              <w:t xml:space="preserve"> tehnoloogianeutraalne pakkumine koos primaarse tootmisseadme(tuulenergia)  määratlusega on kõige läbipaistvam, mittediskrimineerivam ja efektiivsem kriteerium. Tagab võimaluse liita tuuleelektrijaamad tänaste päikeseparkide liitumistega ning võimaldab tekitada projektiülese finantseerimiskindluse. Seeläbi võimaldatakse Eesti elektrivõrgu kontekstis tervikuna kõige optimaalsem ja efektiivsem tootmiskontseptsiooni (nö hübriidpargid), kuna erinevad tootmisseadmed (nt päikesepaneelid ja tuulik) kompenseerivad sama liitumispunkti taga teineteist ning tõstavad oluliselt liitumisvõimsuse kui avaliku ressursi kasutust. Selline tehnoloogia koostoime võimaldab kõige efektiivsemat liitumispunkti kasutust, toetades seeläbi üheselt ühiskondlikku ootust kiirendada ja soodustada taastuvenergia turule tulekut. </w:t>
            </w:r>
          </w:p>
          <w:p w14:paraId="28D61D0A" w14:textId="3924E133" w:rsidR="009A4C5B" w:rsidRPr="005C0F32" w:rsidRDefault="006F4B6D" w:rsidP="006F4B6D">
            <w:p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u w:val="single"/>
              </w:rPr>
              <w:t>Teiseks:</w:t>
            </w:r>
            <w:r w:rsidRPr="005C0F32">
              <w:rPr>
                <w:rFonts w:ascii="Times New Roman" w:eastAsia="Times New Roman" w:hAnsi="Times New Roman" w:cs="Times New Roman"/>
                <w:sz w:val="24"/>
                <w:szCs w:val="24"/>
              </w:rPr>
              <w:t xml:space="preserve"> Võimaldades limiteeritud osas liita sekundaarne seade, võimaldab  see sama võrguressursi abil toota rohkem taastuvenergiat, mille tulemusel on võrku antava elektri omahind madalam. See lahendus võimaldab pikemaid kasutusaegu, sh taastuvenergia tootmine aastaringi, mis on olnud riigi tegelik eesmärk.  Samuti tagab sekundaarse seadme liitmine ja läbi selle taastuvenergiaga </w:t>
            </w:r>
            <w:proofErr w:type="spellStart"/>
            <w:r w:rsidRPr="005C0F32">
              <w:rPr>
                <w:rFonts w:ascii="Times New Roman" w:eastAsia="Times New Roman" w:hAnsi="Times New Roman" w:cs="Times New Roman"/>
                <w:sz w:val="24"/>
                <w:szCs w:val="24"/>
              </w:rPr>
              <w:t>varustaminel</w:t>
            </w:r>
            <w:proofErr w:type="spellEnd"/>
            <w:r w:rsidRPr="005C0F32">
              <w:rPr>
                <w:rFonts w:ascii="Times New Roman" w:eastAsia="Times New Roman" w:hAnsi="Times New Roman" w:cs="Times New Roman"/>
                <w:sz w:val="24"/>
                <w:szCs w:val="24"/>
              </w:rPr>
              <w:t xml:space="preserve"> väiksema elektrihinna volatiilsuse ning suurendab madalama toodangu elektrienergia varustuskindlust ning vähendades ruumikasutusest tulenevaid mõjusid keskkonnale. </w:t>
            </w:r>
          </w:p>
          <w:p w14:paraId="26D00E3A" w14:textId="77777777" w:rsidR="006F4B6D" w:rsidRPr="005C0F32" w:rsidRDefault="006F4B6D" w:rsidP="006F4B6D">
            <w:p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u w:val="single"/>
              </w:rPr>
              <w:lastRenderedPageBreak/>
              <w:t xml:space="preserve">Kolmandaks: </w:t>
            </w:r>
            <w:r w:rsidRPr="005C0F32">
              <w:rPr>
                <w:rFonts w:ascii="Times New Roman" w:eastAsia="Times New Roman" w:hAnsi="Times New Roman" w:cs="Times New Roman"/>
                <w:sz w:val="24"/>
                <w:szCs w:val="24"/>
              </w:rPr>
              <w:t xml:space="preserve">Seadusandja initsiatiiv tehnoloogianeutraalsest kogu ulatuses loobuda on vastuolus varasemate põhimõtteliste lähtepunktidega. Nii pika ajajoonega projektide puhul on kriitiline usaldada riigi poolt antud sõnumeid ning mitte eeldada uusi </w:t>
            </w:r>
            <w:proofErr w:type="spellStart"/>
            <w:r w:rsidRPr="005C0F32">
              <w:rPr>
                <w:rFonts w:ascii="Times New Roman" w:eastAsia="Times New Roman" w:hAnsi="Times New Roman" w:cs="Times New Roman"/>
                <w:sz w:val="24"/>
                <w:szCs w:val="24"/>
              </w:rPr>
              <w:t>üld</w:t>
            </w:r>
            <w:proofErr w:type="spellEnd"/>
            <w:r w:rsidRPr="005C0F32">
              <w:rPr>
                <w:rFonts w:ascii="Times New Roman" w:eastAsia="Times New Roman" w:hAnsi="Times New Roman" w:cs="Times New Roman"/>
                <w:sz w:val="24"/>
                <w:szCs w:val="24"/>
              </w:rPr>
              <w:t xml:space="preserve"> eesmärke ja õiguslikke tõlgendusi.</w:t>
            </w:r>
          </w:p>
          <w:p w14:paraId="16BE99B8" w14:textId="77777777" w:rsidR="006F4B6D" w:rsidRPr="005C0F32" w:rsidRDefault="006F4B6D" w:rsidP="006F4B6D">
            <w:p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rPr>
              <w:t xml:space="preserve">Näited: </w:t>
            </w:r>
          </w:p>
          <w:p w14:paraId="0166C85A" w14:textId="2AAE94B3" w:rsidR="006F4B6D" w:rsidRPr="005C0F32" w:rsidRDefault="006F4B6D" w:rsidP="00F11797">
            <w:pPr>
              <w:pStyle w:val="Loendilik"/>
              <w:numPr>
                <w:ilvl w:val="0"/>
                <w:numId w:val="5"/>
              </w:num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rPr>
              <w:t>tehnoloogianeutraalsuse (sh hübriidpargid) kui ühiskonnale soodsaima lahenduse analüüsist ja hinnast:</w:t>
            </w:r>
          </w:p>
          <w:p w14:paraId="6F6DD40A" w14:textId="2BF56D17" w:rsidR="006F4B6D" w:rsidRPr="005C0F32" w:rsidRDefault="006F4B6D" w:rsidP="006F4B6D">
            <w:pPr>
              <w:spacing w:before="120" w:after="120"/>
              <w:rPr>
                <w:rFonts w:ascii="Times New Roman" w:eastAsia="Times New Roman" w:hAnsi="Times New Roman" w:cs="Times New Roman"/>
                <w:strike/>
                <w:sz w:val="24"/>
                <w:szCs w:val="24"/>
                <w:shd w:val="clear" w:color="auto" w:fill="FFFFFF"/>
              </w:rPr>
            </w:pPr>
            <w:r w:rsidRPr="005C0F32">
              <w:rPr>
                <w:rFonts w:ascii="Times New Roman" w:eastAsia="Times New Roman" w:hAnsi="Times New Roman" w:cs="Times New Roman"/>
                <w:noProof/>
                <w:sz w:val="24"/>
                <w:szCs w:val="24"/>
                <w:lang w:eastAsia="et-EE"/>
              </w:rPr>
              <w:drawing>
                <wp:inline distT="0" distB="0" distL="0" distR="0" wp14:anchorId="6FBD7C4A" wp14:editId="535613CD">
                  <wp:extent cx="5734050" cy="3114675"/>
                  <wp:effectExtent l="0" t="0" r="0" b="9525"/>
                  <wp:docPr id="2"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pap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114675"/>
                          </a:xfrm>
                          <a:prstGeom prst="rect">
                            <a:avLst/>
                          </a:prstGeom>
                          <a:noFill/>
                          <a:ln>
                            <a:noFill/>
                          </a:ln>
                        </pic:spPr>
                      </pic:pic>
                    </a:graphicData>
                  </a:graphic>
                </wp:inline>
              </w:drawing>
            </w:r>
          </w:p>
        </w:tc>
        <w:tc>
          <w:tcPr>
            <w:tcW w:w="3282" w:type="dxa"/>
          </w:tcPr>
          <w:p w14:paraId="4304D2E8" w14:textId="1277ABDC" w:rsidR="007F4F0D" w:rsidRPr="00797EDC" w:rsidRDefault="006E0024"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Mittearvestatud</w:t>
            </w:r>
          </w:p>
          <w:p w14:paraId="1FC17155" w14:textId="77777777" w:rsidR="00963B7C" w:rsidRPr="00797EDC" w:rsidRDefault="00963B7C" w:rsidP="1FD60553">
            <w:pPr>
              <w:pStyle w:val="Loendilik"/>
              <w:ind w:left="-23"/>
              <w:jc w:val="both"/>
              <w:rPr>
                <w:rFonts w:ascii="Times New Roman" w:eastAsia="Calibri" w:hAnsi="Times New Roman" w:cs="Times New Roman"/>
                <w:b/>
                <w:bCs/>
                <w:sz w:val="24"/>
                <w:szCs w:val="24"/>
              </w:rPr>
            </w:pPr>
          </w:p>
          <w:p w14:paraId="01DF6EB5" w14:textId="77777777" w:rsidR="00A827FB" w:rsidRPr="00797EDC" w:rsidRDefault="6462B34A" w:rsidP="00E30ED9">
            <w:pPr>
              <w:pStyle w:val="Loendilik"/>
              <w:spacing w:line="259" w:lineRule="auto"/>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Meetme eesmärk on pakkuda ergutavat mõju tuuleenergia projektidele maismaal ja merel. Muid tehnoloogiaid </w:t>
            </w:r>
            <w:r w:rsidR="50583422" w:rsidRPr="00797EDC">
              <w:rPr>
                <w:rFonts w:ascii="Times New Roman" w:eastAsia="Calibri" w:hAnsi="Times New Roman" w:cs="Times New Roman"/>
                <w:sz w:val="24"/>
                <w:szCs w:val="24"/>
              </w:rPr>
              <w:t>ei ole keelatud samasse l</w:t>
            </w:r>
            <w:r w:rsidR="30705980" w:rsidRPr="00797EDC">
              <w:rPr>
                <w:rFonts w:ascii="Times New Roman" w:eastAsia="Calibri" w:hAnsi="Times New Roman" w:cs="Times New Roman"/>
                <w:sz w:val="24"/>
                <w:szCs w:val="24"/>
              </w:rPr>
              <w:t>i</w:t>
            </w:r>
            <w:r w:rsidR="50583422" w:rsidRPr="00797EDC">
              <w:rPr>
                <w:rFonts w:ascii="Times New Roman" w:eastAsia="Calibri" w:hAnsi="Times New Roman" w:cs="Times New Roman"/>
                <w:sz w:val="24"/>
                <w:szCs w:val="24"/>
              </w:rPr>
              <w:t>itumispunkti ühendada, kuid nende eest toetust ei maksta</w:t>
            </w:r>
            <w:r w:rsidR="5D454607" w:rsidRPr="00797EDC">
              <w:rPr>
                <w:rFonts w:ascii="Times New Roman" w:eastAsia="Calibri" w:hAnsi="Times New Roman" w:cs="Times New Roman"/>
                <w:sz w:val="24"/>
                <w:szCs w:val="24"/>
              </w:rPr>
              <w:t xml:space="preserve">. </w:t>
            </w:r>
          </w:p>
          <w:p w14:paraId="24610E2D" w14:textId="1D133F87" w:rsidR="006E0024" w:rsidRPr="00797EDC" w:rsidRDefault="29ADCD3D" w:rsidP="00831632">
            <w:pPr>
              <w:pStyle w:val="Loendilik"/>
              <w:spacing w:line="259" w:lineRule="auto"/>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Eestis on juba üle 1000 MW päikeseenergia tootmisvõimsusi ja </w:t>
            </w:r>
            <w:r w:rsidR="442BEEED" w:rsidRPr="00797EDC">
              <w:rPr>
                <w:rFonts w:ascii="Times New Roman" w:eastAsia="Calibri" w:hAnsi="Times New Roman" w:cs="Times New Roman"/>
                <w:sz w:val="24"/>
                <w:szCs w:val="24"/>
              </w:rPr>
              <w:t xml:space="preserve">päikeseenergia tootmine </w:t>
            </w:r>
            <w:r w:rsidR="001B4129">
              <w:rPr>
                <w:rFonts w:ascii="Times New Roman" w:eastAsia="Calibri" w:hAnsi="Times New Roman" w:cs="Times New Roman"/>
                <w:sz w:val="24"/>
                <w:szCs w:val="24"/>
              </w:rPr>
              <w:t xml:space="preserve">saab </w:t>
            </w:r>
            <w:r w:rsidR="00A827FB" w:rsidRPr="00797EDC">
              <w:rPr>
                <w:rFonts w:ascii="Times New Roman" w:eastAsia="Calibri" w:hAnsi="Times New Roman" w:cs="Times New Roman"/>
                <w:sz w:val="24"/>
                <w:szCs w:val="24"/>
              </w:rPr>
              <w:t>kasva</w:t>
            </w:r>
            <w:r w:rsidR="001B4129">
              <w:rPr>
                <w:rFonts w:ascii="Times New Roman" w:eastAsia="Calibri" w:hAnsi="Times New Roman" w:cs="Times New Roman"/>
                <w:sz w:val="24"/>
                <w:szCs w:val="24"/>
              </w:rPr>
              <w:t>da</w:t>
            </w:r>
            <w:r w:rsidR="00A827FB" w:rsidRPr="00797EDC">
              <w:rPr>
                <w:rFonts w:ascii="Times New Roman" w:eastAsia="Calibri" w:hAnsi="Times New Roman" w:cs="Times New Roman"/>
                <w:sz w:val="24"/>
                <w:szCs w:val="24"/>
              </w:rPr>
              <w:t xml:space="preserve"> </w:t>
            </w:r>
            <w:r w:rsidR="442BEEED" w:rsidRPr="00797EDC">
              <w:rPr>
                <w:rFonts w:ascii="Times New Roman" w:eastAsia="Calibri" w:hAnsi="Times New Roman" w:cs="Times New Roman"/>
                <w:sz w:val="24"/>
                <w:szCs w:val="24"/>
              </w:rPr>
              <w:t xml:space="preserve">ka ilma toetuseta, </w:t>
            </w:r>
            <w:r w:rsidR="57B8CA51" w:rsidRPr="00797EDC">
              <w:rPr>
                <w:rFonts w:ascii="Times New Roman" w:eastAsia="Calibri" w:hAnsi="Times New Roman" w:cs="Times New Roman"/>
                <w:sz w:val="24"/>
                <w:szCs w:val="24"/>
              </w:rPr>
              <w:t xml:space="preserve">seega </w:t>
            </w:r>
            <w:r w:rsidR="442BEEED" w:rsidRPr="00797EDC">
              <w:rPr>
                <w:rFonts w:ascii="Times New Roman" w:eastAsia="Calibri" w:hAnsi="Times New Roman" w:cs="Times New Roman"/>
                <w:sz w:val="24"/>
                <w:szCs w:val="24"/>
              </w:rPr>
              <w:t xml:space="preserve">puudub selles osas turutõrge, mida oleks vaja toetusega kõrvaldada. Viimasel vähempakkumisel, mida eeskujuks tuuakse, oli võitnud 780 </w:t>
            </w:r>
            <w:proofErr w:type="spellStart"/>
            <w:r w:rsidR="442BEEED" w:rsidRPr="00797EDC">
              <w:rPr>
                <w:rFonts w:ascii="Times New Roman" w:eastAsia="Calibri" w:hAnsi="Times New Roman" w:cs="Times New Roman"/>
                <w:sz w:val="24"/>
                <w:szCs w:val="24"/>
              </w:rPr>
              <w:t>GWh</w:t>
            </w:r>
            <w:proofErr w:type="spellEnd"/>
            <w:r w:rsidR="442BEEED" w:rsidRPr="00797EDC">
              <w:rPr>
                <w:rFonts w:ascii="Times New Roman" w:eastAsia="Calibri" w:hAnsi="Times New Roman" w:cs="Times New Roman"/>
                <w:sz w:val="24"/>
                <w:szCs w:val="24"/>
              </w:rPr>
              <w:t xml:space="preserve"> hulgas 400 </w:t>
            </w:r>
            <w:proofErr w:type="spellStart"/>
            <w:r w:rsidR="442BEEED" w:rsidRPr="00797EDC">
              <w:rPr>
                <w:rFonts w:ascii="Times New Roman" w:eastAsia="Calibri" w:hAnsi="Times New Roman" w:cs="Times New Roman"/>
                <w:sz w:val="24"/>
                <w:szCs w:val="24"/>
              </w:rPr>
              <w:t>GWh</w:t>
            </w:r>
            <w:proofErr w:type="spellEnd"/>
            <w:r w:rsidR="442BEEED" w:rsidRPr="00797EDC">
              <w:rPr>
                <w:rFonts w:ascii="Times New Roman" w:eastAsia="Calibri" w:hAnsi="Times New Roman" w:cs="Times New Roman"/>
                <w:sz w:val="24"/>
                <w:szCs w:val="24"/>
              </w:rPr>
              <w:t xml:space="preserve"> tuuleparke ja 380 </w:t>
            </w:r>
            <w:proofErr w:type="spellStart"/>
            <w:r w:rsidR="442BEEED" w:rsidRPr="00797EDC">
              <w:rPr>
                <w:rFonts w:ascii="Times New Roman" w:eastAsia="Calibri" w:hAnsi="Times New Roman" w:cs="Times New Roman"/>
                <w:sz w:val="24"/>
                <w:szCs w:val="24"/>
              </w:rPr>
              <w:t>GWh</w:t>
            </w:r>
            <w:proofErr w:type="spellEnd"/>
            <w:r w:rsidR="442BEEED" w:rsidRPr="00797EDC">
              <w:rPr>
                <w:rFonts w:ascii="Times New Roman" w:eastAsia="Calibri" w:hAnsi="Times New Roman" w:cs="Times New Roman"/>
                <w:sz w:val="24"/>
                <w:szCs w:val="24"/>
              </w:rPr>
              <w:t xml:space="preserve"> </w:t>
            </w:r>
            <w:proofErr w:type="spellStart"/>
            <w:r w:rsidR="442BEEED" w:rsidRPr="00797EDC">
              <w:rPr>
                <w:rFonts w:ascii="Times New Roman" w:eastAsia="Calibri" w:hAnsi="Times New Roman" w:cs="Times New Roman"/>
                <w:sz w:val="24"/>
                <w:szCs w:val="24"/>
              </w:rPr>
              <w:t>päikese-tuule</w:t>
            </w:r>
            <w:proofErr w:type="spellEnd"/>
            <w:r w:rsidR="442BEEED" w:rsidRPr="00797EDC">
              <w:rPr>
                <w:rFonts w:ascii="Times New Roman" w:eastAsia="Calibri" w:hAnsi="Times New Roman" w:cs="Times New Roman"/>
                <w:sz w:val="24"/>
                <w:szCs w:val="24"/>
              </w:rPr>
              <w:t xml:space="preserve"> hübriidparke, st ülekaalus </w:t>
            </w:r>
            <w:r w:rsidR="2A295EF5" w:rsidRPr="00797EDC">
              <w:rPr>
                <w:rFonts w:ascii="Times New Roman" w:eastAsia="Calibri" w:hAnsi="Times New Roman" w:cs="Times New Roman"/>
                <w:sz w:val="24"/>
                <w:szCs w:val="24"/>
              </w:rPr>
              <w:t xml:space="preserve">olid </w:t>
            </w:r>
            <w:r w:rsidR="442BEEED" w:rsidRPr="00797EDC">
              <w:rPr>
                <w:rFonts w:ascii="Times New Roman" w:eastAsia="Calibri" w:hAnsi="Times New Roman" w:cs="Times New Roman"/>
                <w:sz w:val="24"/>
                <w:szCs w:val="24"/>
              </w:rPr>
              <w:t>tuulepargid ja hinnad olid võrreldavad.</w:t>
            </w:r>
          </w:p>
          <w:p w14:paraId="636C69C2" w14:textId="6F5FF979" w:rsidR="006E0024" w:rsidRPr="00797EDC" w:rsidRDefault="006E0024" w:rsidP="1FD60553">
            <w:pPr>
              <w:pStyle w:val="Loendilik"/>
              <w:ind w:left="-23"/>
              <w:jc w:val="both"/>
              <w:rPr>
                <w:rFonts w:ascii="Times New Roman" w:eastAsia="Calibri" w:hAnsi="Times New Roman" w:cs="Times New Roman"/>
                <w:b/>
                <w:bCs/>
                <w:sz w:val="24"/>
                <w:szCs w:val="24"/>
              </w:rPr>
            </w:pPr>
          </w:p>
        </w:tc>
      </w:tr>
      <w:tr w:rsidR="007F4F0D" w:rsidRPr="005C0F32" w14:paraId="0AE8D561" w14:textId="77777777" w:rsidTr="3199B330">
        <w:trPr>
          <w:trHeight w:val="300"/>
        </w:trPr>
        <w:tc>
          <w:tcPr>
            <w:tcW w:w="10710" w:type="dxa"/>
          </w:tcPr>
          <w:p w14:paraId="630AE916" w14:textId="77777777" w:rsidR="006F4B6D" w:rsidRPr="005C0F32" w:rsidRDefault="006F4B6D" w:rsidP="00F11797">
            <w:pPr>
              <w:pStyle w:val="Loendilik"/>
              <w:numPr>
                <w:ilvl w:val="0"/>
                <w:numId w:val="5"/>
              </w:num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rPr>
              <w:t>Varem avaldatud vähempakkumise detailid:</w:t>
            </w:r>
          </w:p>
          <w:p w14:paraId="60BBD0C2" w14:textId="77777777" w:rsidR="007F4F0D" w:rsidRPr="005C0F32" w:rsidRDefault="006F4B6D" w:rsidP="007F4F0D">
            <w:pPr>
              <w:rPr>
                <w:rFonts w:ascii="Times New Roman" w:hAnsi="Times New Roman" w:cs="Times New Roman"/>
                <w:sz w:val="24"/>
                <w:szCs w:val="24"/>
              </w:rPr>
            </w:pPr>
            <w:r w:rsidRPr="005C0F32">
              <w:rPr>
                <w:rFonts w:ascii="Times New Roman" w:eastAsia="Times New Roman" w:hAnsi="Times New Roman" w:cs="Times New Roman"/>
                <w:noProof/>
                <w:sz w:val="24"/>
                <w:szCs w:val="24"/>
                <w:lang w:eastAsia="et-EE"/>
              </w:rPr>
              <w:lastRenderedPageBreak/>
              <w:drawing>
                <wp:inline distT="0" distB="0" distL="0" distR="0" wp14:anchorId="29D05561" wp14:editId="6E62E42E">
                  <wp:extent cx="3466769" cy="1779783"/>
                  <wp:effectExtent l="0" t="0" r="635" b="0"/>
                  <wp:docPr id="6" name="Picture 4" descr="A close-up of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close-up of a white pap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5981" cy="1784512"/>
                          </a:xfrm>
                          <a:prstGeom prst="rect">
                            <a:avLst/>
                          </a:prstGeom>
                          <a:noFill/>
                          <a:ln>
                            <a:noFill/>
                          </a:ln>
                        </pic:spPr>
                      </pic:pic>
                    </a:graphicData>
                  </a:graphic>
                </wp:inline>
              </w:drawing>
            </w:r>
          </w:p>
          <w:p w14:paraId="31109F93" w14:textId="77777777" w:rsidR="006F4B6D" w:rsidRPr="005C0F32" w:rsidRDefault="006F4B6D" w:rsidP="007F4F0D">
            <w:pPr>
              <w:rPr>
                <w:rFonts w:ascii="Times New Roman" w:hAnsi="Times New Roman" w:cs="Times New Roman"/>
                <w:sz w:val="24"/>
                <w:szCs w:val="24"/>
              </w:rPr>
            </w:pPr>
          </w:p>
          <w:p w14:paraId="4A00ADFC" w14:textId="77777777" w:rsidR="006F4B6D" w:rsidRPr="005C0F32" w:rsidRDefault="006F4B6D" w:rsidP="006F4B6D">
            <w:p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rPr>
              <w:t xml:space="preserve">Juuli 2024 info: </w:t>
            </w:r>
          </w:p>
          <w:p w14:paraId="4B1E20AD" w14:textId="77777777" w:rsidR="006F4B6D" w:rsidRPr="005C0F32" w:rsidRDefault="006F4B6D" w:rsidP="007F4F0D">
            <w:pPr>
              <w:rPr>
                <w:rFonts w:ascii="Times New Roman" w:hAnsi="Times New Roman" w:cs="Times New Roman"/>
                <w:sz w:val="24"/>
                <w:szCs w:val="24"/>
              </w:rPr>
            </w:pPr>
            <w:r w:rsidRPr="005C0F32">
              <w:rPr>
                <w:rFonts w:ascii="Times New Roman" w:eastAsia="Times New Roman" w:hAnsi="Times New Roman" w:cs="Times New Roman"/>
                <w:i/>
                <w:iCs/>
                <w:noProof/>
                <w:sz w:val="24"/>
                <w:szCs w:val="24"/>
              </w:rPr>
              <w:drawing>
                <wp:inline distT="0" distB="0" distL="0" distR="0" wp14:anchorId="772146A5" wp14:editId="52A0266B">
                  <wp:extent cx="3244133" cy="1978592"/>
                  <wp:effectExtent l="0" t="0" r="0" b="3175"/>
                  <wp:docPr id="34924662" name="Picture 1" descr="A screen shot of a white and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4662" name="Picture 1" descr="A screen shot of a white and blue scre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61838" cy="1989390"/>
                          </a:xfrm>
                          <a:prstGeom prst="rect">
                            <a:avLst/>
                          </a:prstGeom>
                          <a:noFill/>
                          <a:ln>
                            <a:noFill/>
                          </a:ln>
                        </pic:spPr>
                      </pic:pic>
                    </a:graphicData>
                  </a:graphic>
                </wp:inline>
              </w:drawing>
            </w:r>
          </w:p>
          <w:p w14:paraId="26837500" w14:textId="77777777" w:rsidR="006F4B6D" w:rsidRPr="005C0F32" w:rsidRDefault="006F4B6D" w:rsidP="006F4B6D">
            <w:pPr>
              <w:spacing w:before="120" w:after="120"/>
              <w:jc w:val="both"/>
              <w:rPr>
                <w:rFonts w:ascii="Times New Roman" w:eastAsia="Times New Roman" w:hAnsi="Times New Roman" w:cs="Times New Roman"/>
                <w:sz w:val="24"/>
                <w:szCs w:val="24"/>
              </w:rPr>
            </w:pPr>
          </w:p>
          <w:p w14:paraId="578CABD4" w14:textId="77777777" w:rsidR="006F4B6D" w:rsidRPr="005C0F32" w:rsidRDefault="006F4B6D" w:rsidP="006F4B6D">
            <w:p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rPr>
              <w:t xml:space="preserve">Eeltoodud slaididel kajastatud ja turuosalistele edastatud info peegeldab muuhulgas varasema 650GWh vähempakkumise tingimusi, mis tervikuna lõid turuosalistele selge õigustatud ootuse, et tehnoloogianeutraalsus kajastub ka 2025.a toimuval vähempakkumisel ning spetsiifilised ootused tootmisaja/seadme osas kajastatakse lisatingimusena (nt 50% toodangust Q1 ja Q4 või üldine protsentuaalne jaotus nagu oleme toonud muudatus ettepanekuna). </w:t>
            </w:r>
          </w:p>
          <w:p w14:paraId="4AA8B6BC" w14:textId="77777777" w:rsidR="006F4B6D" w:rsidRPr="005C0F32" w:rsidRDefault="006F4B6D" w:rsidP="006F4B6D">
            <w:pPr>
              <w:spacing w:before="120" w:after="120"/>
              <w:jc w:val="both"/>
              <w:rPr>
                <w:rFonts w:ascii="Times New Roman" w:eastAsia="Times New Roman" w:hAnsi="Times New Roman" w:cs="Times New Roman"/>
                <w:sz w:val="24"/>
                <w:szCs w:val="24"/>
                <w:shd w:val="clear" w:color="auto" w:fill="FFFFFF"/>
              </w:rPr>
            </w:pPr>
            <w:r w:rsidRPr="005C0F32">
              <w:rPr>
                <w:rFonts w:ascii="Times New Roman" w:eastAsia="Times New Roman" w:hAnsi="Times New Roman" w:cs="Times New Roman"/>
                <w:sz w:val="24"/>
                <w:szCs w:val="24"/>
                <w:shd w:val="clear" w:color="auto" w:fill="FFFFFF"/>
              </w:rPr>
              <w:t xml:space="preserve">Eelistades vaid ühte turul osalevat tootmisseadet (olenemata argumendist, et taotletava eesmärgi saab efektiivsemalt täita hübriidparkidega) kahjustatakse kogu taastuvenergia investeerimiskeskkonda ja tõstetakse lisanduva fikseeritud hinnaga liitumistega kõrgemaks tuulelektri omahinda. Samas peavad täna liitumist omavad teised uued taastuvelektritootmiseks rajatavad seadmed konkureerima toetusega seadmetega (suutes </w:t>
            </w:r>
            <w:r w:rsidRPr="005C0F32">
              <w:rPr>
                <w:rFonts w:ascii="Times New Roman" w:eastAsia="Times New Roman" w:hAnsi="Times New Roman" w:cs="Times New Roman"/>
                <w:sz w:val="24"/>
                <w:szCs w:val="24"/>
                <w:shd w:val="clear" w:color="auto" w:fill="FFFFFF"/>
              </w:rPr>
              <w:lastRenderedPageBreak/>
              <w:t xml:space="preserve">seejuures kombinatsioonina sama eesmärki täita), millise olukorra välistamine on olnud riigiabi õigusraamistiku eesmärk. </w:t>
            </w:r>
          </w:p>
          <w:p w14:paraId="6B5E9633" w14:textId="71F6B33A" w:rsidR="006F4B6D" w:rsidRPr="005C0F32" w:rsidRDefault="006F4B6D" w:rsidP="006F4B6D">
            <w:pPr>
              <w:spacing w:before="120" w:after="120"/>
              <w:jc w:val="both"/>
              <w:rPr>
                <w:rFonts w:ascii="Times New Roman" w:eastAsia="Times New Roman" w:hAnsi="Times New Roman" w:cs="Times New Roman"/>
                <w:sz w:val="24"/>
                <w:szCs w:val="24"/>
                <w:shd w:val="clear" w:color="auto" w:fill="FFFFFF"/>
              </w:rPr>
            </w:pPr>
            <w:r w:rsidRPr="005C0F32">
              <w:rPr>
                <w:rFonts w:ascii="Times New Roman" w:eastAsia="Times New Roman" w:hAnsi="Times New Roman" w:cs="Times New Roman"/>
                <w:sz w:val="24"/>
                <w:szCs w:val="24"/>
                <w:shd w:val="clear" w:color="auto" w:fill="FFFFFF"/>
              </w:rPr>
              <w:t xml:space="preserve">Neljandaks: Kui puudub ühe tehnoloogia(Meretuul) osas piisav konkurents, mille tõttu on vähendatud ka toetatavat mahtu 4TWh-lt 2TWh peale siis kõiki tehnoloogiaid(Meretuul+ maismaatuul+ päike+ salvestus) koos vaadates võrdsetel alustel on võimalik tekitada piisav konkurents ka liidetud vähempakkumiste mahule 2TWh+4TWh. See omakorda viib alla elektrihinna kui ka küsitud hinnapõranda vajadused, mis tagab võidu ühiskonnale nii madalamate elektrihindade näol kui ka väiksemas mahus taastuvenergia tasumaksmise vajaduse. </w:t>
            </w:r>
          </w:p>
        </w:tc>
        <w:tc>
          <w:tcPr>
            <w:tcW w:w="3282" w:type="dxa"/>
          </w:tcPr>
          <w:p w14:paraId="26B50E0D" w14:textId="77777777" w:rsidR="007F4F0D" w:rsidRPr="00797EDC" w:rsidRDefault="007F4F0D" w:rsidP="1FD60553">
            <w:pPr>
              <w:pStyle w:val="Loendilik"/>
              <w:ind w:left="-23"/>
              <w:jc w:val="both"/>
              <w:rPr>
                <w:rFonts w:ascii="Times New Roman" w:eastAsia="Calibri" w:hAnsi="Times New Roman" w:cs="Times New Roman"/>
                <w:b/>
                <w:bCs/>
                <w:sz w:val="24"/>
                <w:szCs w:val="24"/>
              </w:rPr>
            </w:pPr>
          </w:p>
        </w:tc>
      </w:tr>
      <w:tr w:rsidR="007F4F0D" w:rsidRPr="005C0F32" w14:paraId="44E974C9" w14:textId="77777777" w:rsidTr="3199B330">
        <w:trPr>
          <w:trHeight w:val="300"/>
        </w:trPr>
        <w:tc>
          <w:tcPr>
            <w:tcW w:w="10710" w:type="dxa"/>
          </w:tcPr>
          <w:p w14:paraId="423F83D0" w14:textId="3DD0D014" w:rsidR="006F4B6D" w:rsidRPr="005C0F32" w:rsidRDefault="006F4B6D" w:rsidP="006F4B6D">
            <w:pPr>
              <w:spacing w:before="120" w:after="120"/>
              <w:jc w:val="both"/>
              <w:rPr>
                <w:rFonts w:ascii="Times New Roman" w:eastAsia="Times New Roman" w:hAnsi="Times New Roman" w:cs="Times New Roman"/>
                <w:b/>
                <w:bCs/>
                <w:sz w:val="24"/>
                <w:szCs w:val="24"/>
              </w:rPr>
            </w:pPr>
            <w:r w:rsidRPr="005C0F32">
              <w:rPr>
                <w:rFonts w:ascii="Times New Roman" w:eastAsia="Times New Roman" w:hAnsi="Times New Roman" w:cs="Times New Roman"/>
                <w:b/>
                <w:bCs/>
                <w:sz w:val="24"/>
                <w:szCs w:val="24"/>
              </w:rPr>
              <w:lastRenderedPageBreak/>
              <w:t xml:space="preserve">Muuta eelnõu punktis 15 ettenähtud </w:t>
            </w:r>
            <w:r w:rsidRPr="005C0F32">
              <w:rPr>
                <w:rFonts w:ascii="Times New Roman" w:eastAsia="Times New Roman" w:hAnsi="Times New Roman" w:cs="Times New Roman"/>
                <w:b/>
                <w:bCs/>
                <w:sz w:val="24"/>
                <w:szCs w:val="24"/>
                <w:shd w:val="clear" w:color="auto" w:fill="FFFFFF"/>
              </w:rPr>
              <w:t>ELTS §59</w:t>
            </w:r>
            <w:r w:rsidRPr="005C0F32">
              <w:rPr>
                <w:rFonts w:ascii="Times New Roman" w:eastAsia="Times New Roman" w:hAnsi="Times New Roman" w:cs="Times New Roman"/>
                <w:b/>
                <w:bCs/>
                <w:sz w:val="24"/>
                <w:szCs w:val="24"/>
                <w:shd w:val="clear" w:color="auto" w:fill="FFFFFF"/>
                <w:vertAlign w:val="superscript"/>
              </w:rPr>
              <w:t xml:space="preserve">4 </w:t>
            </w:r>
            <w:r w:rsidRPr="005C0F32">
              <w:rPr>
                <w:rFonts w:ascii="Times New Roman" w:eastAsia="Times New Roman" w:hAnsi="Times New Roman" w:cs="Times New Roman"/>
                <w:b/>
                <w:bCs/>
                <w:sz w:val="24"/>
                <w:szCs w:val="24"/>
                <w:shd w:val="clear" w:color="auto" w:fill="FFFFFF"/>
              </w:rPr>
              <w:t>lg 5</w:t>
            </w:r>
            <w:r w:rsidRPr="005C0F32">
              <w:rPr>
                <w:rFonts w:ascii="Times New Roman" w:eastAsia="Times New Roman" w:hAnsi="Times New Roman" w:cs="Times New Roman"/>
                <w:b/>
                <w:bCs/>
                <w:sz w:val="24"/>
                <w:szCs w:val="24"/>
                <w:shd w:val="clear" w:color="auto" w:fill="FFFFFF"/>
                <w:vertAlign w:val="superscript"/>
              </w:rPr>
              <w:t xml:space="preserve">4 </w:t>
            </w:r>
            <w:r w:rsidRPr="005C0F32">
              <w:rPr>
                <w:rFonts w:ascii="Times New Roman" w:eastAsia="Times New Roman" w:hAnsi="Times New Roman" w:cs="Times New Roman"/>
                <w:b/>
                <w:bCs/>
                <w:sz w:val="24"/>
                <w:szCs w:val="24"/>
              </w:rPr>
              <w:t>punktide sõnastust järgmiselt:</w:t>
            </w:r>
          </w:p>
          <w:p w14:paraId="19B097AF" w14:textId="77777777" w:rsidR="006F4B6D" w:rsidRPr="005C0F32" w:rsidRDefault="006F4B6D" w:rsidP="006F4B6D">
            <w:pPr>
              <w:spacing w:before="120" w:after="120"/>
              <w:jc w:val="both"/>
              <w:rPr>
                <w:rFonts w:ascii="Times New Roman" w:eastAsia="Times New Roman" w:hAnsi="Times New Roman" w:cs="Times New Roman"/>
                <w:strike/>
                <w:sz w:val="24"/>
                <w:szCs w:val="24"/>
              </w:rPr>
            </w:pPr>
            <w:r w:rsidRPr="005C0F32">
              <w:rPr>
                <w:rFonts w:ascii="Times New Roman" w:eastAsia="Times New Roman" w:hAnsi="Times New Roman" w:cs="Times New Roman"/>
                <w:strike/>
                <w:sz w:val="24"/>
                <w:szCs w:val="24"/>
              </w:rPr>
              <w:t xml:space="preserve">„4) punktis 4 nimetatud tootmisseadme puhul 20 eurot; </w:t>
            </w:r>
          </w:p>
          <w:p w14:paraId="757C55A1" w14:textId="0ECB6CEE" w:rsidR="006F4B6D" w:rsidRPr="005C0F32" w:rsidRDefault="006F4B6D" w:rsidP="006F4B6D">
            <w:p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rPr>
              <w:t xml:space="preserve">5) punktis </w:t>
            </w:r>
            <w:r w:rsidRPr="005C0F32">
              <w:rPr>
                <w:rFonts w:ascii="Times New Roman" w:eastAsia="Times New Roman" w:hAnsi="Times New Roman" w:cs="Times New Roman"/>
                <w:strike/>
                <w:sz w:val="24"/>
                <w:szCs w:val="24"/>
              </w:rPr>
              <w:t>5</w:t>
            </w:r>
            <w:r w:rsidRPr="005C0F32">
              <w:rPr>
                <w:rFonts w:ascii="Times New Roman" w:eastAsia="Times New Roman" w:hAnsi="Times New Roman" w:cs="Times New Roman"/>
                <w:sz w:val="24"/>
                <w:szCs w:val="24"/>
              </w:rPr>
              <w:t xml:space="preserve"> </w:t>
            </w:r>
            <w:r w:rsidRPr="005C0F32">
              <w:rPr>
                <w:rFonts w:ascii="Times New Roman" w:eastAsia="Times New Roman" w:hAnsi="Times New Roman" w:cs="Times New Roman"/>
                <w:sz w:val="24"/>
                <w:szCs w:val="24"/>
                <w:u w:val="single"/>
              </w:rPr>
              <w:t>4</w:t>
            </w:r>
            <w:r w:rsidRPr="005C0F32">
              <w:rPr>
                <w:rFonts w:ascii="Times New Roman" w:eastAsia="Times New Roman" w:hAnsi="Times New Roman" w:cs="Times New Roman"/>
                <w:sz w:val="24"/>
                <w:szCs w:val="24"/>
              </w:rPr>
              <w:t xml:space="preserve"> nimetatud tootmisseadme puhul 65 eurot.“;</w:t>
            </w:r>
          </w:p>
          <w:p w14:paraId="3DEE04D7" w14:textId="77777777" w:rsidR="006F4B6D" w:rsidRPr="005C0F32" w:rsidRDefault="006F4B6D" w:rsidP="006F4B6D">
            <w:pPr>
              <w:spacing w:before="120" w:after="120"/>
              <w:jc w:val="both"/>
              <w:rPr>
                <w:rFonts w:ascii="Times New Roman" w:eastAsia="Times New Roman" w:hAnsi="Times New Roman" w:cs="Times New Roman"/>
                <w:b/>
                <w:bCs/>
                <w:sz w:val="24"/>
                <w:szCs w:val="24"/>
              </w:rPr>
            </w:pPr>
            <w:r w:rsidRPr="005C0F32">
              <w:rPr>
                <w:rFonts w:ascii="Times New Roman" w:eastAsia="Times New Roman" w:hAnsi="Times New Roman" w:cs="Times New Roman"/>
                <w:b/>
                <w:bCs/>
                <w:sz w:val="24"/>
                <w:szCs w:val="24"/>
              </w:rPr>
              <w:t xml:space="preserve">Selgitus: </w:t>
            </w:r>
          </w:p>
          <w:p w14:paraId="35F304BA" w14:textId="5E8F56F2" w:rsidR="007F4F0D" w:rsidRPr="005C0F32" w:rsidRDefault="006F4B6D" w:rsidP="006F4B6D">
            <w:p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rPr>
              <w:t>Vastavalt käeoleva taotluse punktis 1 toodud põhimõttele (mitte eristada maismaatuuleparki ja meretuuleparki). Tuulepark kui  ühendtermin hõlmab mõlemat ning meie ettepaneku kohaselt tuleks kohaldada eelnõus algselt toodud meretuulepargi tingimusi.</w:t>
            </w:r>
          </w:p>
        </w:tc>
        <w:tc>
          <w:tcPr>
            <w:tcW w:w="3282" w:type="dxa"/>
          </w:tcPr>
          <w:p w14:paraId="466BE75A" w14:textId="77777777" w:rsidR="008E11DF" w:rsidRDefault="008E11DF" w:rsidP="1FD60553">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Mittearvestatud</w:t>
            </w:r>
          </w:p>
          <w:p w14:paraId="259FF517" w14:textId="2AF61344" w:rsidR="007F4F0D" w:rsidRDefault="007F4F0D" w:rsidP="1FD60553">
            <w:pPr>
              <w:pStyle w:val="Loendilik"/>
              <w:ind w:left="-23"/>
              <w:jc w:val="both"/>
              <w:rPr>
                <w:rFonts w:ascii="Times New Roman" w:eastAsia="Calibri" w:hAnsi="Times New Roman" w:cs="Times New Roman"/>
                <w:b/>
                <w:bCs/>
                <w:sz w:val="24"/>
                <w:szCs w:val="24"/>
              </w:rPr>
            </w:pPr>
          </w:p>
          <w:p w14:paraId="6A7B17D9" w14:textId="77777777" w:rsidR="0078020D" w:rsidRPr="00797EDC" w:rsidRDefault="0078020D" w:rsidP="00412F23">
            <w:pPr>
              <w:jc w:val="both"/>
              <w:rPr>
                <w:rFonts w:ascii="Times New Roman" w:eastAsia="Calibri" w:hAnsi="Times New Roman" w:cs="Times New Roman"/>
                <w:sz w:val="24"/>
                <w:szCs w:val="24"/>
              </w:rPr>
            </w:pPr>
          </w:p>
          <w:p w14:paraId="47092551" w14:textId="125203BF" w:rsidR="00412F23" w:rsidRPr="00797EDC" w:rsidRDefault="00412F23" w:rsidP="00412F23">
            <w:pPr>
              <w:jc w:val="both"/>
              <w:rPr>
                <w:rFonts w:ascii="Times New Roman" w:eastAsia="Calibri" w:hAnsi="Times New Roman" w:cs="Times New Roman"/>
                <w:sz w:val="24"/>
                <w:szCs w:val="24"/>
              </w:rPr>
            </w:pPr>
          </w:p>
        </w:tc>
      </w:tr>
      <w:tr w:rsidR="00BF7896" w:rsidRPr="005C0F32" w14:paraId="00DBEC41" w14:textId="77777777" w:rsidTr="3199B330">
        <w:trPr>
          <w:trHeight w:val="300"/>
        </w:trPr>
        <w:tc>
          <w:tcPr>
            <w:tcW w:w="10710" w:type="dxa"/>
          </w:tcPr>
          <w:p w14:paraId="62852AFA" w14:textId="77777777" w:rsidR="006F4B6D" w:rsidRPr="005C0F32" w:rsidRDefault="006F4B6D" w:rsidP="0045055F">
            <w:pPr>
              <w:spacing w:before="120" w:after="120"/>
              <w:jc w:val="both"/>
              <w:rPr>
                <w:rFonts w:ascii="Times New Roman" w:eastAsia="Times New Roman" w:hAnsi="Times New Roman" w:cs="Times New Roman"/>
                <w:b/>
                <w:bCs/>
                <w:sz w:val="24"/>
                <w:szCs w:val="24"/>
              </w:rPr>
            </w:pPr>
            <w:r w:rsidRPr="005C0F32">
              <w:rPr>
                <w:rFonts w:ascii="Times New Roman" w:eastAsia="Times New Roman" w:hAnsi="Times New Roman" w:cs="Times New Roman"/>
                <w:b/>
                <w:bCs/>
                <w:sz w:val="24"/>
                <w:szCs w:val="24"/>
              </w:rPr>
              <w:t xml:space="preserve">Muuta eelnõu punktis 19 ettenähtud ELTS § </w:t>
            </w:r>
            <w:bookmarkStart w:id="1" w:name="_Hlk125460783"/>
            <w:r w:rsidRPr="005C0F32">
              <w:rPr>
                <w:rFonts w:ascii="Times New Roman" w:eastAsia="Times New Roman" w:hAnsi="Times New Roman" w:cs="Times New Roman"/>
                <w:b/>
                <w:bCs/>
                <w:sz w:val="24"/>
                <w:szCs w:val="24"/>
              </w:rPr>
              <w:t>59</w:t>
            </w:r>
            <w:bookmarkEnd w:id="1"/>
            <w:r w:rsidRPr="005C0F32">
              <w:rPr>
                <w:rFonts w:ascii="Times New Roman" w:eastAsia="Times New Roman" w:hAnsi="Times New Roman" w:cs="Times New Roman"/>
                <w:b/>
                <w:bCs/>
                <w:sz w:val="24"/>
                <w:szCs w:val="24"/>
                <w:vertAlign w:val="superscript"/>
              </w:rPr>
              <w:t>4</w:t>
            </w:r>
            <w:r w:rsidRPr="005C0F32">
              <w:rPr>
                <w:rFonts w:ascii="Times New Roman" w:eastAsia="Times New Roman" w:hAnsi="Times New Roman" w:cs="Times New Roman"/>
                <w:b/>
                <w:bCs/>
                <w:sz w:val="24"/>
                <w:szCs w:val="24"/>
              </w:rPr>
              <w:t xml:space="preserve"> lg 12 sõnastust järgmiselt:</w:t>
            </w:r>
          </w:p>
          <w:p w14:paraId="29CE93DC" w14:textId="77777777" w:rsidR="006F4B6D" w:rsidRPr="005C0F32" w:rsidRDefault="006F4B6D" w:rsidP="006F4B6D">
            <w:pPr>
              <w:spacing w:before="120" w:after="120"/>
              <w:jc w:val="both"/>
              <w:rPr>
                <w:rFonts w:ascii="Times New Roman" w:hAnsi="Times New Roman" w:cs="Times New Roman"/>
                <w:sz w:val="24"/>
                <w:szCs w:val="24"/>
              </w:rPr>
            </w:pPr>
            <w:r w:rsidRPr="005C0F32">
              <w:rPr>
                <w:rFonts w:ascii="Times New Roman" w:hAnsi="Times New Roman" w:cs="Times New Roman"/>
                <w:sz w:val="24"/>
                <w:szCs w:val="24"/>
              </w:rPr>
              <w:t>„2) käesoleva seaduse § 59</w:t>
            </w:r>
            <w:r w:rsidRPr="005C0F32">
              <w:rPr>
                <w:rFonts w:ascii="Times New Roman" w:hAnsi="Times New Roman" w:cs="Times New Roman"/>
                <w:sz w:val="24"/>
                <w:szCs w:val="24"/>
                <w:vertAlign w:val="superscript"/>
              </w:rPr>
              <w:t>4</w:t>
            </w:r>
            <w:r w:rsidRPr="005C0F32">
              <w:rPr>
                <w:rFonts w:ascii="Times New Roman" w:hAnsi="Times New Roman" w:cs="Times New Roman"/>
                <w:sz w:val="24"/>
                <w:szCs w:val="24"/>
              </w:rPr>
              <w:t xml:space="preserve"> lõike 5</w:t>
            </w:r>
            <w:r w:rsidRPr="005C0F32">
              <w:rPr>
                <w:rFonts w:ascii="Times New Roman" w:hAnsi="Times New Roman" w:cs="Times New Roman"/>
                <w:sz w:val="24"/>
                <w:szCs w:val="24"/>
                <w:vertAlign w:val="superscript"/>
              </w:rPr>
              <w:t>2</w:t>
            </w:r>
            <w:r w:rsidRPr="005C0F32">
              <w:rPr>
                <w:rFonts w:ascii="Times New Roman" w:hAnsi="Times New Roman" w:cs="Times New Roman"/>
                <w:sz w:val="24"/>
                <w:szCs w:val="24"/>
              </w:rPr>
              <w:t xml:space="preserve"> punkti </w:t>
            </w:r>
            <w:r w:rsidRPr="005C0F32">
              <w:rPr>
                <w:rFonts w:ascii="Times New Roman" w:hAnsi="Times New Roman" w:cs="Times New Roman"/>
                <w:strike/>
                <w:sz w:val="24"/>
                <w:szCs w:val="24"/>
              </w:rPr>
              <w:t>1, 2 või 3</w:t>
            </w:r>
            <w:r w:rsidRPr="005C0F32">
              <w:rPr>
                <w:rFonts w:ascii="Times New Roman" w:hAnsi="Times New Roman" w:cs="Times New Roman"/>
                <w:sz w:val="24"/>
                <w:szCs w:val="24"/>
              </w:rPr>
              <w:t xml:space="preserve"> </w:t>
            </w:r>
            <w:r w:rsidRPr="005C0F32">
              <w:rPr>
                <w:rFonts w:ascii="Times New Roman" w:hAnsi="Times New Roman" w:cs="Times New Roman"/>
                <w:sz w:val="24"/>
                <w:szCs w:val="24"/>
                <w:u w:val="single"/>
              </w:rPr>
              <w:t>1-4</w:t>
            </w:r>
            <w:r w:rsidRPr="005C0F32">
              <w:rPr>
                <w:rFonts w:ascii="Times New Roman" w:hAnsi="Times New Roman" w:cs="Times New Roman"/>
                <w:sz w:val="24"/>
                <w:szCs w:val="24"/>
              </w:rPr>
              <w:t xml:space="preserve"> alusel korraldatud vähempakkumise võitja</w:t>
            </w:r>
            <w:r w:rsidRPr="005C0F32">
              <w:rPr>
                <w:rFonts w:ascii="Times New Roman" w:hAnsi="Times New Roman" w:cs="Times New Roman"/>
                <w:strike/>
                <w:sz w:val="24"/>
                <w:szCs w:val="24"/>
              </w:rPr>
              <w:t>le</w:t>
            </w:r>
            <w:r w:rsidRPr="005C0F32">
              <w:rPr>
                <w:rFonts w:ascii="Times New Roman" w:hAnsi="Times New Roman" w:cs="Times New Roman"/>
                <w:sz w:val="24"/>
                <w:szCs w:val="24"/>
              </w:rPr>
              <w:t xml:space="preserve"> ei ole </w:t>
            </w:r>
            <w:r w:rsidRPr="005C0F32">
              <w:rPr>
                <w:rFonts w:ascii="Times New Roman" w:hAnsi="Times New Roman" w:cs="Times New Roman"/>
                <w:strike/>
                <w:sz w:val="24"/>
                <w:szCs w:val="24"/>
              </w:rPr>
              <w:t>18</w:t>
            </w:r>
            <w:r w:rsidRPr="005C0F32">
              <w:rPr>
                <w:rFonts w:ascii="Times New Roman" w:hAnsi="Times New Roman" w:cs="Times New Roman"/>
                <w:sz w:val="24"/>
                <w:szCs w:val="24"/>
              </w:rPr>
              <w:t xml:space="preserve"> </w:t>
            </w:r>
            <w:r w:rsidRPr="005C0F32">
              <w:rPr>
                <w:rFonts w:ascii="Times New Roman" w:hAnsi="Times New Roman" w:cs="Times New Roman"/>
                <w:sz w:val="24"/>
                <w:szCs w:val="24"/>
                <w:u w:val="single"/>
              </w:rPr>
              <w:t>6</w:t>
            </w:r>
            <w:r w:rsidRPr="005C0F32">
              <w:rPr>
                <w:rFonts w:ascii="Times New Roman" w:hAnsi="Times New Roman" w:cs="Times New Roman"/>
                <w:sz w:val="24"/>
                <w:szCs w:val="24"/>
              </w:rPr>
              <w:t xml:space="preserve"> kuu jooksul pärast käesoleva paragrahvi lõikes 11 nimetatud korralduse vastuvõtmist </w:t>
            </w:r>
            <w:r w:rsidRPr="005C0F32">
              <w:rPr>
                <w:rFonts w:ascii="Times New Roman" w:hAnsi="Times New Roman" w:cs="Times New Roman"/>
                <w:strike/>
                <w:sz w:val="24"/>
                <w:szCs w:val="24"/>
              </w:rPr>
              <w:t>väljastatud tootmisseadme rajamiseks ehitusluba ja vähempakkumise võitja ei ole</w:t>
            </w:r>
            <w:r w:rsidRPr="005C0F32">
              <w:rPr>
                <w:rFonts w:ascii="Times New Roman" w:hAnsi="Times New Roman" w:cs="Times New Roman"/>
                <w:sz w:val="24"/>
                <w:szCs w:val="24"/>
              </w:rPr>
              <w:t xml:space="preserve"> tootmisseadme võrku ühendamiseks sõlminud liitumislepingut; </w:t>
            </w:r>
          </w:p>
          <w:p w14:paraId="750B2CFF" w14:textId="77777777" w:rsidR="006F4B6D" w:rsidRPr="005C0F32" w:rsidRDefault="006F4B6D" w:rsidP="006F4B6D">
            <w:pPr>
              <w:spacing w:before="120" w:after="120"/>
              <w:jc w:val="both"/>
              <w:rPr>
                <w:rFonts w:ascii="Times New Roman" w:hAnsi="Times New Roman" w:cs="Times New Roman"/>
                <w:strike/>
                <w:sz w:val="24"/>
                <w:szCs w:val="24"/>
              </w:rPr>
            </w:pPr>
            <w:r w:rsidRPr="005C0F32">
              <w:rPr>
                <w:rFonts w:ascii="Times New Roman" w:hAnsi="Times New Roman" w:cs="Times New Roman"/>
                <w:strike/>
                <w:sz w:val="24"/>
                <w:szCs w:val="24"/>
              </w:rPr>
              <w:t>3) käesoleva seaduse § 59</w:t>
            </w:r>
            <w:r w:rsidRPr="005C0F32">
              <w:rPr>
                <w:rFonts w:ascii="Times New Roman" w:hAnsi="Times New Roman" w:cs="Times New Roman"/>
                <w:strike/>
                <w:sz w:val="24"/>
                <w:szCs w:val="24"/>
                <w:vertAlign w:val="superscript"/>
              </w:rPr>
              <w:t xml:space="preserve">4 </w:t>
            </w:r>
            <w:r w:rsidRPr="005C0F32">
              <w:rPr>
                <w:rFonts w:ascii="Times New Roman" w:hAnsi="Times New Roman" w:cs="Times New Roman"/>
                <w:strike/>
                <w:sz w:val="24"/>
                <w:szCs w:val="24"/>
              </w:rPr>
              <w:t>lõike 5</w:t>
            </w:r>
            <w:r w:rsidRPr="005C0F32">
              <w:rPr>
                <w:rFonts w:ascii="Times New Roman" w:hAnsi="Times New Roman" w:cs="Times New Roman"/>
                <w:strike/>
                <w:sz w:val="24"/>
                <w:szCs w:val="24"/>
                <w:vertAlign w:val="superscript"/>
              </w:rPr>
              <w:t>2</w:t>
            </w:r>
            <w:r w:rsidRPr="005C0F32">
              <w:rPr>
                <w:rFonts w:ascii="Times New Roman" w:hAnsi="Times New Roman" w:cs="Times New Roman"/>
                <w:strike/>
                <w:sz w:val="24"/>
                <w:szCs w:val="24"/>
              </w:rPr>
              <w:t xml:space="preserve"> punkti 4 alusel korraldatud vähempakkumise võitja ei ole kuue kuu jooksul pärast käesoleva paragrahvi lõikes 11 nimetatud korralduse vastuvõtmist tootmisseadme võrku ühendamiseks sõlminud liitumislepingut; </w:t>
            </w:r>
          </w:p>
          <w:p w14:paraId="48CA16D1" w14:textId="77777777" w:rsidR="006F4B6D" w:rsidRPr="005C0F32" w:rsidRDefault="006F4B6D" w:rsidP="006F4B6D">
            <w:pPr>
              <w:spacing w:before="120" w:after="120"/>
              <w:jc w:val="both"/>
              <w:rPr>
                <w:rFonts w:ascii="Times New Roman" w:hAnsi="Times New Roman" w:cs="Times New Roman"/>
                <w:strike/>
                <w:sz w:val="24"/>
                <w:szCs w:val="24"/>
              </w:rPr>
            </w:pPr>
            <w:r w:rsidRPr="005C0F32">
              <w:rPr>
                <w:rFonts w:ascii="Times New Roman" w:hAnsi="Times New Roman" w:cs="Times New Roman"/>
                <w:strike/>
                <w:sz w:val="24"/>
                <w:szCs w:val="24"/>
              </w:rPr>
              <w:t>4) käesoleva seaduse § 59</w:t>
            </w:r>
            <w:r w:rsidRPr="005C0F32">
              <w:rPr>
                <w:rFonts w:ascii="Times New Roman" w:hAnsi="Times New Roman" w:cs="Times New Roman"/>
                <w:strike/>
                <w:sz w:val="24"/>
                <w:szCs w:val="24"/>
                <w:vertAlign w:val="superscript"/>
              </w:rPr>
              <w:t xml:space="preserve">4 </w:t>
            </w:r>
            <w:r w:rsidRPr="005C0F32">
              <w:rPr>
                <w:rFonts w:ascii="Times New Roman" w:hAnsi="Times New Roman" w:cs="Times New Roman"/>
                <w:strike/>
                <w:sz w:val="24"/>
                <w:szCs w:val="24"/>
              </w:rPr>
              <w:t>lõike 5</w:t>
            </w:r>
            <w:r w:rsidRPr="005C0F32">
              <w:rPr>
                <w:rFonts w:ascii="Times New Roman" w:hAnsi="Times New Roman" w:cs="Times New Roman"/>
                <w:strike/>
                <w:sz w:val="24"/>
                <w:szCs w:val="24"/>
                <w:vertAlign w:val="superscript"/>
              </w:rPr>
              <w:t>2</w:t>
            </w:r>
            <w:r w:rsidRPr="005C0F32">
              <w:rPr>
                <w:rFonts w:ascii="Times New Roman" w:hAnsi="Times New Roman" w:cs="Times New Roman"/>
                <w:strike/>
                <w:sz w:val="24"/>
                <w:szCs w:val="24"/>
              </w:rPr>
              <w:t xml:space="preserve"> punkti 5 alusel korraldatud vähempakkumise võitja ei ole 36 kuu jooksul pärast käesoleva paragrahvi lõikes 11 nimetatud korralduse vastuvõtmist tootmisseadme võrku ühendamiseks sõlminud liitumislepingut;  „</w:t>
            </w:r>
          </w:p>
          <w:p w14:paraId="0BDA2439" w14:textId="77777777" w:rsidR="006F4B6D" w:rsidRPr="005C0F32" w:rsidRDefault="006F4B6D" w:rsidP="006F4B6D">
            <w:pPr>
              <w:spacing w:before="120" w:after="120"/>
              <w:jc w:val="both"/>
              <w:rPr>
                <w:rFonts w:ascii="Times New Roman" w:eastAsia="Times New Roman" w:hAnsi="Times New Roman" w:cs="Times New Roman"/>
                <w:b/>
                <w:bCs/>
                <w:sz w:val="24"/>
                <w:szCs w:val="24"/>
                <w:shd w:val="clear" w:color="auto" w:fill="FFFFFF"/>
              </w:rPr>
            </w:pPr>
            <w:r w:rsidRPr="005C0F32">
              <w:rPr>
                <w:rFonts w:ascii="Times New Roman" w:eastAsia="Times New Roman" w:hAnsi="Times New Roman" w:cs="Times New Roman"/>
                <w:b/>
                <w:bCs/>
                <w:sz w:val="24"/>
                <w:szCs w:val="24"/>
                <w:shd w:val="clear" w:color="auto" w:fill="FFFFFF"/>
              </w:rPr>
              <w:t>Selgitus:</w:t>
            </w:r>
          </w:p>
          <w:p w14:paraId="4AAC5F72" w14:textId="77777777" w:rsidR="006F4B6D" w:rsidRPr="005C0F32" w:rsidRDefault="006F4B6D" w:rsidP="006F4B6D">
            <w:pPr>
              <w:spacing w:before="120" w:after="120"/>
              <w:jc w:val="both"/>
              <w:rPr>
                <w:rFonts w:ascii="Times New Roman" w:eastAsia="Times New Roman" w:hAnsi="Times New Roman" w:cs="Times New Roman"/>
                <w:sz w:val="24"/>
                <w:szCs w:val="24"/>
                <w:shd w:val="clear" w:color="auto" w:fill="FFFFFF"/>
              </w:rPr>
            </w:pPr>
            <w:r w:rsidRPr="005C0F32">
              <w:rPr>
                <w:rFonts w:ascii="Times New Roman" w:eastAsia="Times New Roman" w:hAnsi="Times New Roman" w:cs="Times New Roman"/>
                <w:sz w:val="24"/>
                <w:szCs w:val="24"/>
                <w:shd w:val="clear" w:color="auto" w:fill="FFFFFF"/>
              </w:rPr>
              <w:t xml:space="preserve">Teeme ettepaneku sünkroniseerida punktides 1-4 toodud liitumislepingu sõlmimise tähtaega, kuivõrd see võimaldab Eleringile koheselt tervikpildi ning võimaluse asuda eelisarendama liitumislepingu sõlminud ja </w:t>
            </w:r>
            <w:r w:rsidRPr="005C0F32">
              <w:rPr>
                <w:rFonts w:ascii="Times New Roman" w:eastAsia="Times New Roman" w:hAnsi="Times New Roman" w:cs="Times New Roman"/>
                <w:sz w:val="24"/>
                <w:szCs w:val="24"/>
                <w:shd w:val="clear" w:color="auto" w:fill="FFFFFF"/>
              </w:rPr>
              <w:lastRenderedPageBreak/>
              <w:t xml:space="preserve">vähempakkumise võitnud projektide jaoks vajalikku võrku ühtse tervikuna, tagades muuhulgas õigeaegse ja kuluefektiivse arenduse. </w:t>
            </w:r>
          </w:p>
          <w:p w14:paraId="6E700DC9" w14:textId="58FBB69D" w:rsidR="00BF7896" w:rsidRPr="005C0F32" w:rsidRDefault="006F4B6D" w:rsidP="006F4B6D">
            <w:pPr>
              <w:spacing w:before="120" w:after="120"/>
              <w:jc w:val="both"/>
              <w:rPr>
                <w:rFonts w:ascii="Times New Roman" w:hAnsi="Times New Roman" w:cs="Times New Roman"/>
                <w:sz w:val="24"/>
                <w:szCs w:val="24"/>
              </w:rPr>
            </w:pPr>
            <w:r w:rsidRPr="005C0F32">
              <w:rPr>
                <w:rFonts w:ascii="Times New Roman" w:eastAsia="Times New Roman" w:hAnsi="Times New Roman" w:cs="Times New Roman"/>
                <w:sz w:val="24"/>
                <w:szCs w:val="24"/>
                <w:shd w:val="clear" w:color="auto" w:fill="FFFFFF"/>
              </w:rPr>
              <w:t>Ehitusloa nõue sellise perioodi jooksul ei ole tootmise alustamise tähtaega arvestades proportsionaalne piirang. Pakkujale on juba kohaldatud opereerimise alguse nõue ning samuti kohaldub deposiidi nõue (</w:t>
            </w:r>
            <w:r w:rsidRPr="005C0F32">
              <w:rPr>
                <w:rStyle w:val="cf01"/>
                <w:rFonts w:ascii="Times New Roman" w:hAnsi="Times New Roman" w:cs="Times New Roman"/>
                <w:sz w:val="24"/>
                <w:szCs w:val="24"/>
              </w:rPr>
              <w:t>20€/MWh). Nii varajases faasis seatud täiendavad nõuded ei ole vajalikud ning seavad pakkujatele ebamõistlikud ootused, mille täitmist ei saa ise lõpuni juhtida.</w:t>
            </w:r>
          </w:p>
        </w:tc>
        <w:tc>
          <w:tcPr>
            <w:tcW w:w="3282" w:type="dxa"/>
          </w:tcPr>
          <w:p w14:paraId="5C1EA266" w14:textId="04591E42" w:rsidR="00BF7896" w:rsidRPr="00797EDC" w:rsidRDefault="003E0990"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Mitte arvestatud</w:t>
            </w:r>
            <w:r w:rsidR="51CB385F" w:rsidRPr="00797EDC">
              <w:rPr>
                <w:rFonts w:ascii="Times New Roman" w:eastAsia="Calibri" w:hAnsi="Times New Roman" w:cs="Times New Roman"/>
                <w:b/>
                <w:bCs/>
                <w:sz w:val="24"/>
                <w:szCs w:val="24"/>
              </w:rPr>
              <w:t>.</w:t>
            </w:r>
          </w:p>
          <w:p w14:paraId="740807B4" w14:textId="03A937B1" w:rsidR="69ACF809" w:rsidRPr="00797EDC" w:rsidRDefault="69ACF809" w:rsidP="69ACF809">
            <w:pPr>
              <w:pStyle w:val="Loendilik"/>
              <w:ind w:left="-23"/>
              <w:jc w:val="both"/>
              <w:rPr>
                <w:rFonts w:ascii="Times New Roman" w:eastAsia="Calibri" w:hAnsi="Times New Roman" w:cs="Times New Roman"/>
                <w:b/>
                <w:bCs/>
                <w:sz w:val="24"/>
                <w:szCs w:val="24"/>
              </w:rPr>
            </w:pPr>
          </w:p>
          <w:p w14:paraId="5BCDCA6F" w14:textId="0E018FC5" w:rsidR="003E0990" w:rsidRPr="00797EDC" w:rsidRDefault="5DAA727D" w:rsidP="28C849A4">
            <w:pPr>
              <w:pStyle w:val="Loendilik"/>
              <w:ind w:left="-23"/>
              <w:jc w:val="both"/>
              <w:rPr>
                <w:rFonts w:ascii="Times New Roman" w:eastAsia="Calibri" w:hAnsi="Times New Roman" w:cs="Times New Roman"/>
                <w:b/>
                <w:bCs/>
                <w:sz w:val="24"/>
                <w:szCs w:val="24"/>
              </w:rPr>
            </w:pPr>
            <w:r w:rsidRPr="00797EDC">
              <w:rPr>
                <w:rFonts w:ascii="Times New Roman" w:hAnsi="Times New Roman" w:cs="Times New Roman"/>
                <w:sz w:val="24"/>
                <w:szCs w:val="24"/>
              </w:rPr>
              <w:t>ELTS § 59</w:t>
            </w:r>
            <w:r w:rsidRPr="00797EDC">
              <w:rPr>
                <w:rFonts w:ascii="Times New Roman" w:hAnsi="Times New Roman" w:cs="Times New Roman"/>
                <w:sz w:val="24"/>
                <w:szCs w:val="24"/>
                <w:vertAlign w:val="superscript"/>
              </w:rPr>
              <w:t>4</w:t>
            </w:r>
            <w:r w:rsidRPr="00797EDC">
              <w:rPr>
                <w:rFonts w:ascii="Times New Roman" w:hAnsi="Times New Roman" w:cs="Times New Roman"/>
                <w:sz w:val="24"/>
                <w:szCs w:val="24"/>
              </w:rPr>
              <w:t xml:space="preserve"> lõike 5</w:t>
            </w:r>
            <w:r w:rsidRPr="00797EDC">
              <w:rPr>
                <w:rFonts w:ascii="Times New Roman" w:hAnsi="Times New Roman" w:cs="Times New Roman"/>
                <w:sz w:val="24"/>
                <w:szCs w:val="24"/>
                <w:vertAlign w:val="superscript"/>
              </w:rPr>
              <w:t>2</w:t>
            </w:r>
            <w:r w:rsidRPr="00797EDC">
              <w:rPr>
                <w:rFonts w:ascii="Times New Roman" w:hAnsi="Times New Roman" w:cs="Times New Roman"/>
                <w:sz w:val="24"/>
                <w:szCs w:val="24"/>
              </w:rPr>
              <w:t xml:space="preserve"> </w:t>
            </w:r>
            <w:r w:rsidRPr="00797EDC">
              <w:rPr>
                <w:rFonts w:ascii="Times New Roman" w:eastAsia="Calibri" w:hAnsi="Times New Roman" w:cs="Times New Roman"/>
                <w:sz w:val="24"/>
                <w:szCs w:val="24"/>
              </w:rPr>
              <w:t>punktide 1-3 alusel korraldatud vähempakkumis</w:t>
            </w:r>
            <w:r w:rsidR="3C3DDA8A" w:rsidRPr="00797EDC">
              <w:rPr>
                <w:rFonts w:ascii="Times New Roman" w:eastAsia="Calibri" w:hAnsi="Times New Roman" w:cs="Times New Roman"/>
                <w:sz w:val="24"/>
                <w:szCs w:val="24"/>
              </w:rPr>
              <w:t>t</w:t>
            </w:r>
            <w:r w:rsidRPr="00797EDC">
              <w:rPr>
                <w:rFonts w:ascii="Times New Roman" w:eastAsia="Calibri" w:hAnsi="Times New Roman" w:cs="Times New Roman"/>
                <w:sz w:val="24"/>
                <w:szCs w:val="24"/>
              </w:rPr>
              <w:t>e</w:t>
            </w:r>
            <w:r w:rsidR="0FB5B2EC" w:rsidRPr="00797EDC">
              <w:rPr>
                <w:rFonts w:ascii="Times New Roman" w:eastAsia="Calibri" w:hAnsi="Times New Roman" w:cs="Times New Roman"/>
                <w:sz w:val="24"/>
                <w:szCs w:val="24"/>
              </w:rPr>
              <w:t xml:space="preserve"> </w:t>
            </w:r>
            <w:r w:rsidRPr="00797EDC">
              <w:rPr>
                <w:rFonts w:ascii="Times New Roman" w:eastAsia="Calibri" w:hAnsi="Times New Roman" w:cs="Times New Roman"/>
                <w:sz w:val="24"/>
                <w:szCs w:val="24"/>
              </w:rPr>
              <w:t>tingimuste muutmine ei ole lubatud tagasiulatuva mõju tõttu.</w:t>
            </w:r>
            <w:r w:rsidR="20BC33C3" w:rsidRPr="00797EDC">
              <w:rPr>
                <w:rFonts w:ascii="Times New Roman" w:eastAsia="Calibri" w:hAnsi="Times New Roman" w:cs="Times New Roman"/>
                <w:sz w:val="24"/>
                <w:szCs w:val="24"/>
              </w:rPr>
              <w:t xml:space="preserve"> Samuti ei saa maismaa- ja meretuulepargi </w:t>
            </w:r>
            <w:r w:rsidR="751575D5" w:rsidRPr="00797EDC">
              <w:rPr>
                <w:rFonts w:ascii="Times New Roman" w:eastAsia="Calibri" w:hAnsi="Times New Roman" w:cs="Times New Roman"/>
                <w:sz w:val="24"/>
                <w:szCs w:val="24"/>
              </w:rPr>
              <w:t>liitumislepingu sõlmimisele seada sama 6-kuulist tähtaega, kuna sellise</w:t>
            </w:r>
            <w:r w:rsidR="5A046B8F" w:rsidRPr="00797EDC">
              <w:rPr>
                <w:rFonts w:ascii="Times New Roman" w:eastAsia="Calibri" w:hAnsi="Times New Roman" w:cs="Times New Roman"/>
                <w:sz w:val="24"/>
                <w:szCs w:val="24"/>
              </w:rPr>
              <w:t>lt</w:t>
            </w:r>
            <w:r w:rsidR="751575D5" w:rsidRPr="00797EDC">
              <w:rPr>
                <w:rFonts w:ascii="Times New Roman" w:eastAsia="Calibri" w:hAnsi="Times New Roman" w:cs="Times New Roman"/>
                <w:sz w:val="24"/>
                <w:szCs w:val="24"/>
              </w:rPr>
              <w:t xml:space="preserve"> välistataks </w:t>
            </w:r>
            <w:r w:rsidR="18F1F9FA" w:rsidRPr="00797EDC">
              <w:rPr>
                <w:rFonts w:ascii="Times New Roman" w:eastAsia="Calibri" w:hAnsi="Times New Roman" w:cs="Times New Roman"/>
                <w:sz w:val="24"/>
                <w:szCs w:val="24"/>
              </w:rPr>
              <w:t>meretuuleparkide osalemine vähempakkumisel.</w:t>
            </w:r>
          </w:p>
        </w:tc>
      </w:tr>
      <w:tr w:rsidR="00BF7896" w:rsidRPr="005C0F32" w14:paraId="1605E5A1" w14:textId="77777777" w:rsidTr="3199B330">
        <w:trPr>
          <w:trHeight w:val="300"/>
        </w:trPr>
        <w:tc>
          <w:tcPr>
            <w:tcW w:w="10710" w:type="dxa"/>
          </w:tcPr>
          <w:p w14:paraId="6F647351" w14:textId="56E02FD4" w:rsidR="0045055F" w:rsidRPr="005C0F32" w:rsidRDefault="0045055F" w:rsidP="0045055F">
            <w:pPr>
              <w:spacing w:before="120" w:after="120"/>
              <w:jc w:val="both"/>
              <w:rPr>
                <w:rFonts w:ascii="Times New Roman" w:eastAsia="Times New Roman" w:hAnsi="Times New Roman" w:cs="Times New Roman"/>
                <w:b/>
                <w:bCs/>
                <w:sz w:val="24"/>
                <w:szCs w:val="24"/>
              </w:rPr>
            </w:pPr>
            <w:r w:rsidRPr="005C0F32">
              <w:rPr>
                <w:rFonts w:ascii="Times New Roman" w:eastAsia="Times New Roman" w:hAnsi="Times New Roman" w:cs="Times New Roman"/>
                <w:b/>
                <w:bCs/>
                <w:sz w:val="24"/>
                <w:szCs w:val="24"/>
              </w:rPr>
              <w:t xml:space="preserve">Kustutada eelnõu punktis 25 ettenähtud </w:t>
            </w:r>
            <w:r w:rsidRPr="005C0F32">
              <w:rPr>
                <w:rFonts w:ascii="Times New Roman" w:eastAsia="Times New Roman" w:hAnsi="Times New Roman" w:cs="Times New Roman"/>
                <w:b/>
                <w:bCs/>
                <w:sz w:val="24"/>
                <w:szCs w:val="24"/>
                <w:shd w:val="clear" w:color="auto" w:fill="FFFFFF"/>
              </w:rPr>
              <w:t>ELTS §</w:t>
            </w:r>
            <w:r w:rsidR="009A4C5B" w:rsidRPr="005C0F32">
              <w:rPr>
                <w:rFonts w:ascii="Times New Roman" w:eastAsia="Times New Roman" w:hAnsi="Times New Roman" w:cs="Times New Roman"/>
                <w:b/>
                <w:bCs/>
                <w:sz w:val="24"/>
                <w:szCs w:val="24"/>
                <w:shd w:val="clear" w:color="auto" w:fill="FFFFFF"/>
              </w:rPr>
              <w:t xml:space="preserve"> </w:t>
            </w:r>
            <w:r w:rsidRPr="005C0F32">
              <w:rPr>
                <w:rFonts w:ascii="Times New Roman" w:eastAsia="Times New Roman" w:hAnsi="Times New Roman" w:cs="Times New Roman"/>
                <w:b/>
                <w:bCs/>
                <w:sz w:val="24"/>
                <w:szCs w:val="24"/>
                <w:shd w:val="clear" w:color="auto" w:fill="FFFFFF"/>
              </w:rPr>
              <w:t>59</w:t>
            </w:r>
            <w:r w:rsidRPr="005C0F32">
              <w:rPr>
                <w:rFonts w:ascii="Times New Roman" w:eastAsia="Times New Roman" w:hAnsi="Times New Roman" w:cs="Times New Roman"/>
                <w:b/>
                <w:bCs/>
                <w:sz w:val="24"/>
                <w:szCs w:val="24"/>
                <w:shd w:val="clear" w:color="auto" w:fill="FFFFFF"/>
                <w:vertAlign w:val="superscript"/>
              </w:rPr>
              <w:t>9</w:t>
            </w:r>
            <w:r w:rsidRPr="005C0F32">
              <w:rPr>
                <w:rFonts w:ascii="Times New Roman" w:eastAsia="Times New Roman" w:hAnsi="Times New Roman" w:cs="Times New Roman"/>
                <w:b/>
                <w:bCs/>
                <w:sz w:val="24"/>
                <w:szCs w:val="24"/>
                <w:shd w:val="clear" w:color="auto" w:fill="FFFFFF"/>
              </w:rPr>
              <w:t>.</w:t>
            </w:r>
          </w:p>
          <w:p w14:paraId="17723484" w14:textId="77777777" w:rsidR="0045055F" w:rsidRPr="005C0F32" w:rsidRDefault="0045055F" w:rsidP="0045055F">
            <w:pPr>
              <w:spacing w:before="120" w:after="120"/>
              <w:jc w:val="both"/>
              <w:rPr>
                <w:rFonts w:ascii="Times New Roman" w:eastAsia="Times New Roman" w:hAnsi="Times New Roman" w:cs="Times New Roman"/>
                <w:b/>
                <w:bCs/>
                <w:sz w:val="24"/>
                <w:szCs w:val="24"/>
              </w:rPr>
            </w:pPr>
            <w:r w:rsidRPr="005C0F32">
              <w:rPr>
                <w:rFonts w:ascii="Times New Roman" w:eastAsia="Times New Roman" w:hAnsi="Times New Roman" w:cs="Times New Roman"/>
                <w:b/>
                <w:bCs/>
                <w:sz w:val="24"/>
                <w:szCs w:val="24"/>
              </w:rPr>
              <w:t xml:space="preserve">Selgitus: </w:t>
            </w:r>
          </w:p>
          <w:p w14:paraId="0AA25828" w14:textId="1DF0E6BE" w:rsidR="00BF7896" w:rsidRPr="005C0F32" w:rsidRDefault="0045055F" w:rsidP="0045055F">
            <w:p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rPr>
              <w:t>Vastavalt varasemates punktides toodud ettepanekule kohaldada tuuleparkidele samu tingimusi.</w:t>
            </w:r>
          </w:p>
        </w:tc>
        <w:tc>
          <w:tcPr>
            <w:tcW w:w="3282" w:type="dxa"/>
          </w:tcPr>
          <w:p w14:paraId="1AAB0877" w14:textId="77777777" w:rsidR="00BF7896" w:rsidRPr="00797EDC" w:rsidRDefault="00BF2920"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Mittearvestatud</w:t>
            </w:r>
          </w:p>
          <w:p w14:paraId="2B6418A2" w14:textId="77777777" w:rsidR="00A92B92" w:rsidRPr="00797EDC" w:rsidRDefault="00A92B92" w:rsidP="1FD60553">
            <w:pPr>
              <w:pStyle w:val="Loendilik"/>
              <w:ind w:left="-23"/>
              <w:jc w:val="both"/>
              <w:rPr>
                <w:rFonts w:ascii="Times New Roman" w:eastAsia="Calibri" w:hAnsi="Times New Roman" w:cs="Times New Roman"/>
                <w:b/>
                <w:bCs/>
                <w:sz w:val="24"/>
                <w:szCs w:val="24"/>
              </w:rPr>
            </w:pPr>
          </w:p>
          <w:p w14:paraId="111CB985" w14:textId="4E56606C" w:rsidR="00A92B92" w:rsidRPr="00797EDC" w:rsidRDefault="00A92B92"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sz w:val="24"/>
                <w:szCs w:val="24"/>
              </w:rPr>
              <w:t xml:space="preserve">Praegused </w:t>
            </w:r>
            <w:r w:rsidR="009C4CF7" w:rsidRPr="00797EDC">
              <w:rPr>
                <w:rFonts w:ascii="Times New Roman" w:eastAsia="Calibri" w:hAnsi="Times New Roman" w:cs="Times New Roman"/>
                <w:sz w:val="24"/>
                <w:szCs w:val="24"/>
              </w:rPr>
              <w:t xml:space="preserve">vähempakkumiste korra </w:t>
            </w:r>
            <w:r w:rsidRPr="00797EDC">
              <w:rPr>
                <w:rFonts w:ascii="Times New Roman" w:eastAsia="Calibri" w:hAnsi="Times New Roman" w:cs="Times New Roman"/>
                <w:sz w:val="24"/>
                <w:szCs w:val="24"/>
              </w:rPr>
              <w:t xml:space="preserve">põhimõtted </w:t>
            </w:r>
            <w:r w:rsidR="006557EA" w:rsidRPr="00797EDC">
              <w:rPr>
                <w:rFonts w:ascii="Times New Roman" w:eastAsia="Calibri" w:hAnsi="Times New Roman" w:cs="Times New Roman"/>
                <w:sz w:val="24"/>
                <w:szCs w:val="24"/>
              </w:rPr>
              <w:t xml:space="preserve">on </w:t>
            </w:r>
            <w:r w:rsidRPr="00797EDC">
              <w:rPr>
                <w:rFonts w:ascii="Times New Roman" w:eastAsia="Calibri" w:hAnsi="Times New Roman" w:cs="Times New Roman"/>
                <w:sz w:val="24"/>
                <w:szCs w:val="24"/>
              </w:rPr>
              <w:t>kinnitatud Vabariigi Valitsuse 22.02.2024 otsusega</w:t>
            </w:r>
            <w:r w:rsidR="00541286" w:rsidRPr="00797EDC">
              <w:rPr>
                <w:rFonts w:ascii="Times New Roman" w:eastAsia="Calibri" w:hAnsi="Times New Roman" w:cs="Times New Roman"/>
                <w:sz w:val="24"/>
                <w:szCs w:val="24"/>
              </w:rPr>
              <w:t xml:space="preserve"> ja uutele</w:t>
            </w:r>
            <w:r w:rsidR="002501AD" w:rsidRPr="00797EDC">
              <w:rPr>
                <w:rFonts w:ascii="Times New Roman" w:eastAsia="Calibri" w:hAnsi="Times New Roman" w:cs="Times New Roman"/>
                <w:sz w:val="24"/>
                <w:szCs w:val="24"/>
              </w:rPr>
              <w:t xml:space="preserve"> maismaatuuleparkidele kehtestatavad erandid</w:t>
            </w:r>
            <w:r w:rsidR="00D91541" w:rsidRPr="00797EDC">
              <w:rPr>
                <w:rFonts w:ascii="Times New Roman" w:eastAsia="Calibri" w:hAnsi="Times New Roman" w:cs="Times New Roman"/>
                <w:sz w:val="24"/>
                <w:szCs w:val="24"/>
              </w:rPr>
              <w:t xml:space="preserve"> peavad seaduses eraldi sätestatud olema</w:t>
            </w:r>
            <w:r w:rsidR="00E02669" w:rsidRPr="00797EDC">
              <w:rPr>
                <w:rFonts w:ascii="Times New Roman" w:eastAsia="Calibri" w:hAnsi="Times New Roman" w:cs="Times New Roman"/>
                <w:sz w:val="24"/>
                <w:szCs w:val="24"/>
              </w:rPr>
              <w:t>.</w:t>
            </w:r>
          </w:p>
        </w:tc>
      </w:tr>
      <w:tr w:rsidR="00BF7896" w:rsidRPr="005C0F32" w14:paraId="14EBAA95" w14:textId="77777777" w:rsidTr="3199B330">
        <w:trPr>
          <w:trHeight w:val="300"/>
        </w:trPr>
        <w:tc>
          <w:tcPr>
            <w:tcW w:w="10710" w:type="dxa"/>
          </w:tcPr>
          <w:p w14:paraId="3B022349" w14:textId="7197AABC" w:rsidR="0045055F" w:rsidRPr="005C0F32" w:rsidRDefault="0045055F" w:rsidP="0045055F">
            <w:pPr>
              <w:spacing w:before="120" w:after="120"/>
              <w:jc w:val="both"/>
              <w:rPr>
                <w:rFonts w:ascii="Times New Roman" w:eastAsia="Times New Roman" w:hAnsi="Times New Roman" w:cs="Times New Roman"/>
                <w:b/>
                <w:bCs/>
                <w:sz w:val="24"/>
                <w:szCs w:val="24"/>
              </w:rPr>
            </w:pPr>
            <w:r w:rsidRPr="005C0F32">
              <w:rPr>
                <w:rFonts w:ascii="Times New Roman" w:eastAsia="Times New Roman" w:hAnsi="Times New Roman" w:cs="Times New Roman"/>
                <w:b/>
                <w:bCs/>
                <w:sz w:val="24"/>
                <w:szCs w:val="24"/>
              </w:rPr>
              <w:t xml:space="preserve">Muuta eelnõu punktis 25 ettenähtud </w:t>
            </w:r>
            <w:r w:rsidRPr="005C0F32">
              <w:rPr>
                <w:rFonts w:ascii="Times New Roman" w:eastAsia="Times New Roman" w:hAnsi="Times New Roman" w:cs="Times New Roman"/>
                <w:b/>
                <w:bCs/>
                <w:sz w:val="24"/>
                <w:szCs w:val="24"/>
                <w:shd w:val="clear" w:color="auto" w:fill="FFFFFF"/>
              </w:rPr>
              <w:t>ELTS §</w:t>
            </w:r>
            <w:r w:rsidR="009A4C5B" w:rsidRPr="005C0F32">
              <w:rPr>
                <w:rFonts w:ascii="Times New Roman" w:eastAsia="Times New Roman" w:hAnsi="Times New Roman" w:cs="Times New Roman"/>
                <w:b/>
                <w:bCs/>
                <w:sz w:val="24"/>
                <w:szCs w:val="24"/>
                <w:shd w:val="clear" w:color="auto" w:fill="FFFFFF"/>
              </w:rPr>
              <w:t xml:space="preserve"> </w:t>
            </w:r>
            <w:r w:rsidRPr="005C0F32">
              <w:rPr>
                <w:rFonts w:ascii="Times New Roman" w:eastAsia="Times New Roman" w:hAnsi="Times New Roman" w:cs="Times New Roman"/>
                <w:b/>
                <w:bCs/>
                <w:sz w:val="24"/>
                <w:szCs w:val="24"/>
                <w:shd w:val="clear" w:color="auto" w:fill="FFFFFF"/>
              </w:rPr>
              <w:t>59</w:t>
            </w:r>
            <w:r w:rsidRPr="005C0F32">
              <w:rPr>
                <w:rFonts w:ascii="Times New Roman" w:eastAsia="Times New Roman" w:hAnsi="Times New Roman" w:cs="Times New Roman"/>
                <w:b/>
                <w:bCs/>
                <w:sz w:val="24"/>
                <w:szCs w:val="24"/>
                <w:shd w:val="clear" w:color="auto" w:fill="FFFFFF"/>
                <w:vertAlign w:val="superscript"/>
              </w:rPr>
              <w:t xml:space="preserve">10 </w:t>
            </w:r>
            <w:r w:rsidRPr="005C0F32">
              <w:rPr>
                <w:rFonts w:ascii="Times New Roman" w:eastAsia="Times New Roman" w:hAnsi="Times New Roman" w:cs="Times New Roman"/>
                <w:b/>
                <w:bCs/>
                <w:sz w:val="24"/>
                <w:szCs w:val="24"/>
              </w:rPr>
              <w:t>punkti sõnastust järgmiselt:</w:t>
            </w:r>
          </w:p>
          <w:p w14:paraId="7D489A3B" w14:textId="79064FB3" w:rsidR="0045055F" w:rsidRPr="005C0F32" w:rsidRDefault="0045055F" w:rsidP="0045055F">
            <w:pPr>
              <w:spacing w:before="120" w:after="120"/>
              <w:jc w:val="both"/>
              <w:rPr>
                <w:rFonts w:ascii="Times New Roman" w:eastAsia="Times New Roman" w:hAnsi="Times New Roman" w:cs="Times New Roman"/>
                <w:sz w:val="24"/>
                <w:szCs w:val="24"/>
                <w:shd w:val="clear" w:color="auto" w:fill="FFFFFF"/>
              </w:rPr>
            </w:pPr>
            <w:r w:rsidRPr="005C0F32">
              <w:rPr>
                <w:rFonts w:ascii="Times New Roman" w:eastAsia="Times New Roman" w:hAnsi="Times New Roman" w:cs="Times New Roman"/>
                <w:sz w:val="24"/>
                <w:szCs w:val="24"/>
                <w:shd w:val="clear" w:color="auto" w:fill="FFFFFF"/>
              </w:rPr>
              <w:t>§ 59</w:t>
            </w:r>
            <w:r w:rsidRPr="005C0F32">
              <w:rPr>
                <w:rFonts w:ascii="Times New Roman" w:eastAsia="Times New Roman" w:hAnsi="Times New Roman" w:cs="Times New Roman"/>
                <w:sz w:val="24"/>
                <w:szCs w:val="24"/>
                <w:shd w:val="clear" w:color="auto" w:fill="FFFFFF"/>
                <w:vertAlign w:val="superscript"/>
              </w:rPr>
              <w:t xml:space="preserve">10 </w:t>
            </w:r>
            <w:r w:rsidRPr="005C0F32">
              <w:rPr>
                <w:rFonts w:ascii="Times New Roman" w:eastAsia="Times New Roman" w:hAnsi="Times New Roman" w:cs="Times New Roman"/>
                <w:sz w:val="24"/>
                <w:szCs w:val="24"/>
                <w:shd w:val="clear" w:color="auto" w:fill="FFFFFF"/>
              </w:rPr>
              <w:t xml:space="preserve">. </w:t>
            </w:r>
            <w:proofErr w:type="spellStart"/>
            <w:r w:rsidRPr="005C0F32">
              <w:rPr>
                <w:rFonts w:ascii="Times New Roman" w:eastAsia="Times New Roman" w:hAnsi="Times New Roman" w:cs="Times New Roman"/>
                <w:strike/>
                <w:sz w:val="24"/>
                <w:szCs w:val="24"/>
                <w:shd w:val="clear" w:color="auto" w:fill="FFFFFF"/>
              </w:rPr>
              <w:t>Meret</w:t>
            </w:r>
            <w:r w:rsidRPr="005C0F32">
              <w:rPr>
                <w:rFonts w:ascii="Times New Roman" w:eastAsia="Times New Roman" w:hAnsi="Times New Roman" w:cs="Times New Roman"/>
                <w:sz w:val="24"/>
                <w:szCs w:val="24"/>
                <w:u w:val="single"/>
                <w:shd w:val="clear" w:color="auto" w:fill="FFFFFF"/>
              </w:rPr>
              <w:t>T</w:t>
            </w:r>
            <w:r w:rsidRPr="005C0F32">
              <w:rPr>
                <w:rFonts w:ascii="Times New Roman" w:eastAsia="Times New Roman" w:hAnsi="Times New Roman" w:cs="Times New Roman"/>
                <w:sz w:val="24"/>
                <w:szCs w:val="24"/>
                <w:shd w:val="clear" w:color="auto" w:fill="FFFFFF"/>
              </w:rPr>
              <w:t>uulepargi</w:t>
            </w:r>
            <w:proofErr w:type="spellEnd"/>
            <w:r w:rsidRPr="005C0F32">
              <w:rPr>
                <w:rFonts w:ascii="Times New Roman" w:eastAsia="Times New Roman" w:hAnsi="Times New Roman" w:cs="Times New Roman"/>
                <w:sz w:val="24"/>
                <w:szCs w:val="24"/>
                <w:shd w:val="clear" w:color="auto" w:fill="FFFFFF"/>
              </w:rPr>
              <w:t xml:space="preserve"> vähempakkumise lisatingimused </w:t>
            </w:r>
          </w:p>
          <w:p w14:paraId="6551D6F9" w14:textId="77777777" w:rsidR="0045055F" w:rsidRPr="005C0F32" w:rsidRDefault="0045055F" w:rsidP="00F11797">
            <w:pPr>
              <w:pStyle w:val="Loendilik"/>
              <w:numPr>
                <w:ilvl w:val="0"/>
                <w:numId w:val="6"/>
              </w:numPr>
              <w:spacing w:before="120" w:after="120"/>
              <w:jc w:val="both"/>
              <w:rPr>
                <w:rFonts w:ascii="Times New Roman" w:eastAsia="Times New Roman" w:hAnsi="Times New Roman" w:cs="Times New Roman"/>
                <w:sz w:val="24"/>
                <w:szCs w:val="24"/>
                <w:shd w:val="clear" w:color="auto" w:fill="FFFFFF"/>
              </w:rPr>
            </w:pPr>
            <w:r w:rsidRPr="005C0F32">
              <w:rPr>
                <w:rFonts w:ascii="Times New Roman" w:eastAsia="Times New Roman" w:hAnsi="Times New Roman" w:cs="Times New Roman"/>
                <w:sz w:val="24"/>
                <w:szCs w:val="24"/>
                <w:shd w:val="clear" w:color="auto" w:fill="FFFFFF"/>
              </w:rPr>
              <w:t>Käesolevas paragrahvis sätestatut kohaldatakse käesoleva seaduse § 59</w:t>
            </w:r>
            <w:r w:rsidRPr="005C0F32">
              <w:rPr>
                <w:rFonts w:ascii="Times New Roman" w:eastAsia="Times New Roman" w:hAnsi="Times New Roman" w:cs="Times New Roman"/>
                <w:sz w:val="24"/>
                <w:szCs w:val="24"/>
                <w:shd w:val="clear" w:color="auto" w:fill="FFFFFF"/>
                <w:vertAlign w:val="superscript"/>
              </w:rPr>
              <w:t>4</w:t>
            </w:r>
            <w:r w:rsidRPr="005C0F32">
              <w:rPr>
                <w:rFonts w:ascii="Times New Roman" w:eastAsia="Times New Roman" w:hAnsi="Times New Roman" w:cs="Times New Roman"/>
                <w:sz w:val="24"/>
                <w:szCs w:val="24"/>
                <w:shd w:val="clear" w:color="auto" w:fill="FFFFFF"/>
              </w:rPr>
              <w:t xml:space="preserve"> lõike 5</w:t>
            </w:r>
            <w:r w:rsidRPr="005C0F32">
              <w:rPr>
                <w:rFonts w:ascii="Times New Roman" w:eastAsia="Times New Roman" w:hAnsi="Times New Roman" w:cs="Times New Roman"/>
                <w:sz w:val="24"/>
                <w:szCs w:val="24"/>
                <w:shd w:val="clear" w:color="auto" w:fill="FFFFFF"/>
                <w:vertAlign w:val="superscript"/>
              </w:rPr>
              <w:t>2</w:t>
            </w:r>
            <w:r w:rsidRPr="005C0F32">
              <w:rPr>
                <w:rFonts w:ascii="Times New Roman" w:eastAsia="Times New Roman" w:hAnsi="Times New Roman" w:cs="Times New Roman"/>
                <w:sz w:val="24"/>
                <w:szCs w:val="24"/>
                <w:shd w:val="clear" w:color="auto" w:fill="FFFFFF"/>
              </w:rPr>
              <w:t xml:space="preserve"> punkti </w:t>
            </w:r>
            <w:r w:rsidRPr="005C0F32">
              <w:rPr>
                <w:rFonts w:ascii="Times New Roman" w:eastAsia="Times New Roman" w:hAnsi="Times New Roman" w:cs="Times New Roman"/>
                <w:strike/>
                <w:sz w:val="24"/>
                <w:szCs w:val="24"/>
                <w:shd w:val="clear" w:color="auto" w:fill="FFFFFF"/>
              </w:rPr>
              <w:t>5</w:t>
            </w:r>
            <w:r w:rsidRPr="005C0F32">
              <w:rPr>
                <w:rFonts w:ascii="Times New Roman" w:eastAsia="Times New Roman" w:hAnsi="Times New Roman" w:cs="Times New Roman"/>
                <w:sz w:val="24"/>
                <w:szCs w:val="24"/>
                <w:u w:val="single"/>
                <w:shd w:val="clear" w:color="auto" w:fill="FFFFFF"/>
              </w:rPr>
              <w:t>4</w:t>
            </w:r>
            <w:r w:rsidRPr="005C0F32">
              <w:rPr>
                <w:rFonts w:ascii="Times New Roman" w:eastAsia="Times New Roman" w:hAnsi="Times New Roman" w:cs="Times New Roman"/>
                <w:sz w:val="24"/>
                <w:szCs w:val="24"/>
                <w:shd w:val="clear" w:color="auto" w:fill="FFFFFF"/>
              </w:rPr>
              <w:t xml:space="preserve"> alusel korraldatud vähempakkumise korral.</w:t>
            </w:r>
          </w:p>
          <w:p w14:paraId="0FB0ECF2" w14:textId="77777777" w:rsidR="0045055F" w:rsidRDefault="0045055F" w:rsidP="0045055F">
            <w:pPr>
              <w:spacing w:before="120" w:after="120"/>
              <w:jc w:val="both"/>
              <w:rPr>
                <w:rFonts w:ascii="Times New Roman" w:eastAsia="Times New Roman" w:hAnsi="Times New Roman" w:cs="Times New Roman"/>
                <w:b/>
                <w:bCs/>
                <w:sz w:val="24"/>
                <w:szCs w:val="24"/>
                <w:shd w:val="clear" w:color="auto" w:fill="FFFFFF"/>
              </w:rPr>
            </w:pPr>
            <w:r w:rsidRPr="005C0F32">
              <w:rPr>
                <w:rFonts w:ascii="Times New Roman" w:eastAsia="Times New Roman" w:hAnsi="Times New Roman" w:cs="Times New Roman"/>
                <w:b/>
                <w:bCs/>
                <w:sz w:val="24"/>
                <w:szCs w:val="24"/>
                <w:shd w:val="clear" w:color="auto" w:fill="FFFFFF"/>
              </w:rPr>
              <w:t xml:space="preserve">Selgitus: </w:t>
            </w:r>
          </w:p>
          <w:p w14:paraId="11E29981" w14:textId="77777777" w:rsidR="00CC10DC" w:rsidRPr="005C0F32" w:rsidRDefault="00CC10DC" w:rsidP="0045055F">
            <w:pPr>
              <w:spacing w:before="120" w:after="120"/>
              <w:jc w:val="both"/>
              <w:rPr>
                <w:rFonts w:ascii="Times New Roman" w:eastAsia="Times New Roman" w:hAnsi="Times New Roman" w:cs="Times New Roman"/>
                <w:b/>
                <w:bCs/>
                <w:sz w:val="24"/>
                <w:szCs w:val="24"/>
                <w:shd w:val="clear" w:color="auto" w:fill="FFFFFF"/>
              </w:rPr>
            </w:pPr>
          </w:p>
          <w:p w14:paraId="20B2540B" w14:textId="1343541D" w:rsidR="00BF7896" w:rsidRPr="005C0F32" w:rsidRDefault="0045055F" w:rsidP="0045055F">
            <w:p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rPr>
              <w:t>Vastavalt varasemates punktides toodud ettepanekule kohaldada tuuleparkidele samu tingimusi.</w:t>
            </w:r>
          </w:p>
        </w:tc>
        <w:tc>
          <w:tcPr>
            <w:tcW w:w="3282" w:type="dxa"/>
          </w:tcPr>
          <w:p w14:paraId="715E696D" w14:textId="77777777" w:rsidR="00BF7896" w:rsidRPr="00797EDC" w:rsidRDefault="00DD47A8"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Mittearvestatud</w:t>
            </w:r>
          </w:p>
          <w:p w14:paraId="5B1CF2FB" w14:textId="77777777" w:rsidR="007563BC" w:rsidRPr="00797EDC" w:rsidRDefault="007563BC" w:rsidP="1FD60553">
            <w:pPr>
              <w:pStyle w:val="Loendilik"/>
              <w:ind w:left="-23"/>
              <w:jc w:val="both"/>
              <w:rPr>
                <w:rFonts w:ascii="Times New Roman" w:eastAsia="Calibri" w:hAnsi="Times New Roman" w:cs="Times New Roman"/>
                <w:b/>
                <w:bCs/>
                <w:sz w:val="24"/>
                <w:szCs w:val="24"/>
              </w:rPr>
            </w:pPr>
          </w:p>
          <w:p w14:paraId="744EFA77" w14:textId="0549A007" w:rsidR="007563BC" w:rsidRPr="00797EDC" w:rsidRDefault="006A0C28"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sz w:val="24"/>
                <w:szCs w:val="24"/>
              </w:rPr>
              <w:t>Praegused vähempakkumiste korra põhimõtted on kinnitatud Vabariigi Valitsuse 22.02.2024 otsusega ja uutele m</w:t>
            </w:r>
            <w:r w:rsidR="00821EFF" w:rsidRPr="00797EDC">
              <w:rPr>
                <w:rFonts w:ascii="Times New Roman" w:eastAsia="Calibri" w:hAnsi="Times New Roman" w:cs="Times New Roman"/>
                <w:sz w:val="24"/>
                <w:szCs w:val="24"/>
              </w:rPr>
              <w:t>ere</w:t>
            </w:r>
            <w:r w:rsidRPr="00797EDC">
              <w:rPr>
                <w:rFonts w:ascii="Times New Roman" w:eastAsia="Calibri" w:hAnsi="Times New Roman" w:cs="Times New Roman"/>
                <w:sz w:val="24"/>
                <w:szCs w:val="24"/>
              </w:rPr>
              <w:t>tuuleparkidele kehtestatavad erandid peavad seaduses eraldi sätestatud olema.</w:t>
            </w:r>
          </w:p>
        </w:tc>
      </w:tr>
      <w:tr w:rsidR="00BF7896" w:rsidRPr="005C0F32" w14:paraId="2E582C14" w14:textId="77777777" w:rsidTr="3199B330">
        <w:trPr>
          <w:trHeight w:val="300"/>
        </w:trPr>
        <w:tc>
          <w:tcPr>
            <w:tcW w:w="10710" w:type="dxa"/>
          </w:tcPr>
          <w:p w14:paraId="082540CC" w14:textId="77777777" w:rsidR="0045055F" w:rsidRPr="005C0F32" w:rsidRDefault="0045055F" w:rsidP="0045055F">
            <w:pPr>
              <w:spacing w:before="120" w:after="120"/>
              <w:jc w:val="both"/>
              <w:rPr>
                <w:rFonts w:ascii="Times New Roman" w:eastAsia="Times New Roman" w:hAnsi="Times New Roman" w:cs="Times New Roman"/>
                <w:b/>
                <w:bCs/>
                <w:sz w:val="24"/>
                <w:szCs w:val="24"/>
              </w:rPr>
            </w:pPr>
            <w:r w:rsidRPr="005C0F32">
              <w:rPr>
                <w:rFonts w:ascii="Times New Roman" w:eastAsia="Times New Roman" w:hAnsi="Times New Roman" w:cs="Times New Roman"/>
                <w:b/>
                <w:bCs/>
                <w:sz w:val="24"/>
                <w:szCs w:val="24"/>
              </w:rPr>
              <w:t xml:space="preserve">Muuta eelnõu punktis 28 ettenähtud </w:t>
            </w:r>
            <w:r w:rsidRPr="005C0F32">
              <w:rPr>
                <w:rFonts w:ascii="Times New Roman" w:eastAsia="Times New Roman" w:hAnsi="Times New Roman" w:cs="Times New Roman"/>
                <w:b/>
                <w:bCs/>
                <w:sz w:val="24"/>
                <w:szCs w:val="24"/>
                <w:shd w:val="clear" w:color="auto" w:fill="FFFFFF"/>
              </w:rPr>
              <w:t xml:space="preserve">ELTS §108 lg 1 </w:t>
            </w:r>
            <w:r w:rsidRPr="005C0F32">
              <w:rPr>
                <w:rFonts w:ascii="Times New Roman" w:eastAsia="Times New Roman" w:hAnsi="Times New Roman" w:cs="Times New Roman"/>
                <w:b/>
                <w:bCs/>
                <w:sz w:val="24"/>
                <w:szCs w:val="24"/>
                <w:shd w:val="clear" w:color="auto" w:fill="FFFFFF"/>
                <w:vertAlign w:val="superscript"/>
              </w:rPr>
              <w:t xml:space="preserve">3 </w:t>
            </w:r>
            <w:r w:rsidRPr="005C0F32">
              <w:rPr>
                <w:rFonts w:ascii="Times New Roman" w:eastAsia="Times New Roman" w:hAnsi="Times New Roman" w:cs="Times New Roman"/>
                <w:b/>
                <w:bCs/>
                <w:sz w:val="24"/>
                <w:szCs w:val="24"/>
              </w:rPr>
              <w:t>sõnastust järgmiselt:</w:t>
            </w:r>
          </w:p>
          <w:p w14:paraId="0B1742FD" w14:textId="77777777" w:rsidR="0045055F" w:rsidRPr="005C0F32" w:rsidRDefault="0045055F" w:rsidP="0045055F">
            <w:pPr>
              <w:spacing w:before="120" w:after="120"/>
              <w:jc w:val="both"/>
              <w:rPr>
                <w:rFonts w:ascii="Times New Roman" w:eastAsia="Times New Roman" w:hAnsi="Times New Roman" w:cs="Times New Roman"/>
                <w:sz w:val="24"/>
                <w:szCs w:val="24"/>
                <w:shd w:val="clear" w:color="auto" w:fill="FFFFFF"/>
              </w:rPr>
            </w:pPr>
            <w:r w:rsidRPr="005C0F32">
              <w:rPr>
                <w:rFonts w:ascii="Times New Roman" w:eastAsia="Times New Roman" w:hAnsi="Times New Roman" w:cs="Times New Roman"/>
                <w:sz w:val="24"/>
                <w:szCs w:val="24"/>
                <w:shd w:val="clear" w:color="auto" w:fill="FFFFFF"/>
              </w:rPr>
              <w:t>„(1</w:t>
            </w:r>
            <w:r w:rsidRPr="005C0F32">
              <w:rPr>
                <w:rFonts w:ascii="Times New Roman" w:eastAsia="Times New Roman" w:hAnsi="Times New Roman" w:cs="Times New Roman"/>
                <w:sz w:val="24"/>
                <w:szCs w:val="24"/>
                <w:shd w:val="clear" w:color="auto" w:fill="FFFFFF"/>
                <w:vertAlign w:val="superscript"/>
              </w:rPr>
              <w:t xml:space="preserve">3 </w:t>
            </w:r>
            <w:r w:rsidRPr="005C0F32">
              <w:rPr>
                <w:rFonts w:ascii="Times New Roman" w:eastAsia="Times New Roman" w:hAnsi="Times New Roman" w:cs="Times New Roman"/>
                <w:sz w:val="24"/>
                <w:szCs w:val="24"/>
                <w:shd w:val="clear" w:color="auto" w:fill="FFFFFF"/>
              </w:rPr>
              <w:t>)Käesoleva seaduse § 59</w:t>
            </w:r>
            <w:r w:rsidRPr="005C0F32">
              <w:rPr>
                <w:rFonts w:ascii="Times New Roman" w:eastAsia="Times New Roman" w:hAnsi="Times New Roman" w:cs="Times New Roman"/>
                <w:sz w:val="24"/>
                <w:szCs w:val="24"/>
                <w:shd w:val="clear" w:color="auto" w:fill="FFFFFF"/>
                <w:vertAlign w:val="superscript"/>
              </w:rPr>
              <w:t>4</w:t>
            </w:r>
            <w:r w:rsidRPr="005C0F32">
              <w:rPr>
                <w:rFonts w:ascii="Times New Roman" w:eastAsia="Times New Roman" w:hAnsi="Times New Roman" w:cs="Times New Roman"/>
                <w:sz w:val="24"/>
                <w:szCs w:val="24"/>
                <w:shd w:val="clear" w:color="auto" w:fill="FFFFFF"/>
              </w:rPr>
              <w:t xml:space="preserve"> lõike 5</w:t>
            </w:r>
            <w:r w:rsidRPr="005C0F32">
              <w:rPr>
                <w:rFonts w:ascii="Times New Roman" w:eastAsia="Times New Roman" w:hAnsi="Times New Roman" w:cs="Times New Roman"/>
                <w:sz w:val="24"/>
                <w:szCs w:val="24"/>
                <w:shd w:val="clear" w:color="auto" w:fill="FFFFFF"/>
                <w:vertAlign w:val="superscript"/>
              </w:rPr>
              <w:t>2</w:t>
            </w:r>
            <w:r w:rsidRPr="005C0F32">
              <w:rPr>
                <w:rFonts w:ascii="Times New Roman" w:eastAsia="Times New Roman" w:hAnsi="Times New Roman" w:cs="Times New Roman"/>
                <w:sz w:val="24"/>
                <w:szCs w:val="24"/>
                <w:shd w:val="clear" w:color="auto" w:fill="FFFFFF"/>
              </w:rPr>
              <w:t xml:space="preserve"> punktis 4 nimetatud tootmisseadme korral makstakse vähemapakkumise tulemuse alusel toetust kuni </w:t>
            </w:r>
            <w:r w:rsidRPr="005C0F32">
              <w:rPr>
                <w:rFonts w:ascii="Times New Roman" w:eastAsia="Times New Roman" w:hAnsi="Times New Roman" w:cs="Times New Roman"/>
                <w:strike/>
                <w:sz w:val="24"/>
                <w:szCs w:val="24"/>
                <w:shd w:val="clear" w:color="auto" w:fill="FFFFFF"/>
              </w:rPr>
              <w:t>12 aastat ja sama lõike punktis 5 nimetatud tootmisseadme korral kuni</w:t>
            </w:r>
            <w:r w:rsidRPr="005C0F32">
              <w:rPr>
                <w:rFonts w:ascii="Times New Roman" w:eastAsia="Times New Roman" w:hAnsi="Times New Roman" w:cs="Times New Roman"/>
                <w:sz w:val="24"/>
                <w:szCs w:val="24"/>
                <w:shd w:val="clear" w:color="auto" w:fill="FFFFFF"/>
              </w:rPr>
              <w:t xml:space="preserve"> 20 aastat tootmise alustamisest, arvestades käesoleva seaduse § 59</w:t>
            </w:r>
            <w:r w:rsidRPr="005C0F32">
              <w:rPr>
                <w:rFonts w:ascii="Times New Roman" w:eastAsia="Times New Roman" w:hAnsi="Times New Roman" w:cs="Times New Roman"/>
                <w:sz w:val="24"/>
                <w:szCs w:val="24"/>
                <w:shd w:val="clear" w:color="auto" w:fill="FFFFFF"/>
                <w:vertAlign w:val="superscript"/>
              </w:rPr>
              <w:t xml:space="preserve">4 </w:t>
            </w:r>
            <w:r w:rsidRPr="005C0F32">
              <w:rPr>
                <w:rFonts w:ascii="Times New Roman" w:eastAsia="Times New Roman" w:hAnsi="Times New Roman" w:cs="Times New Roman"/>
                <w:sz w:val="24"/>
                <w:szCs w:val="24"/>
                <w:shd w:val="clear" w:color="auto" w:fill="FFFFFF"/>
              </w:rPr>
              <w:t>lõikes 11</w:t>
            </w:r>
            <w:r w:rsidRPr="005C0F32">
              <w:rPr>
                <w:rFonts w:ascii="Times New Roman" w:eastAsia="Times New Roman" w:hAnsi="Times New Roman" w:cs="Times New Roman"/>
                <w:sz w:val="24"/>
                <w:szCs w:val="24"/>
                <w:shd w:val="clear" w:color="auto" w:fill="FFFFFF"/>
                <w:vertAlign w:val="superscript"/>
              </w:rPr>
              <w:t>1</w:t>
            </w:r>
            <w:r w:rsidRPr="005C0F32">
              <w:rPr>
                <w:rFonts w:ascii="Times New Roman" w:eastAsia="Times New Roman" w:hAnsi="Times New Roman" w:cs="Times New Roman"/>
                <w:sz w:val="24"/>
                <w:szCs w:val="24"/>
                <w:shd w:val="clear" w:color="auto" w:fill="FFFFFF"/>
              </w:rPr>
              <w:t xml:space="preserve"> sätestatud erisusega.“;</w:t>
            </w:r>
          </w:p>
          <w:p w14:paraId="1DC3EE68" w14:textId="77777777" w:rsidR="0045055F" w:rsidRPr="005C0F32" w:rsidRDefault="0045055F" w:rsidP="0045055F">
            <w:pPr>
              <w:spacing w:before="120" w:after="120"/>
              <w:jc w:val="both"/>
              <w:rPr>
                <w:rFonts w:ascii="Times New Roman" w:eastAsia="Times New Roman" w:hAnsi="Times New Roman" w:cs="Times New Roman"/>
                <w:b/>
                <w:bCs/>
                <w:sz w:val="24"/>
                <w:szCs w:val="24"/>
                <w:shd w:val="clear" w:color="auto" w:fill="FFFFFF"/>
              </w:rPr>
            </w:pPr>
            <w:r w:rsidRPr="005C0F32">
              <w:rPr>
                <w:rFonts w:ascii="Times New Roman" w:eastAsia="Times New Roman" w:hAnsi="Times New Roman" w:cs="Times New Roman"/>
                <w:b/>
                <w:bCs/>
                <w:sz w:val="24"/>
                <w:szCs w:val="24"/>
                <w:shd w:val="clear" w:color="auto" w:fill="FFFFFF"/>
              </w:rPr>
              <w:t xml:space="preserve">Selgitus: </w:t>
            </w:r>
          </w:p>
          <w:p w14:paraId="06DECB2E" w14:textId="697C354E" w:rsidR="00BF7896" w:rsidRPr="005C0F32" w:rsidRDefault="0045055F" w:rsidP="0045055F">
            <w:p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rPr>
              <w:t>Vastavalt varasemates punktides toodud ettepanekule kohaldada tuuleparkidele samu tingimusi.</w:t>
            </w:r>
          </w:p>
        </w:tc>
        <w:tc>
          <w:tcPr>
            <w:tcW w:w="3282" w:type="dxa"/>
          </w:tcPr>
          <w:p w14:paraId="3F3F1164" w14:textId="77777777" w:rsidR="001A3513" w:rsidRDefault="0070522B" w:rsidP="001A351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Mittearvestatud</w:t>
            </w:r>
          </w:p>
          <w:p w14:paraId="64E75D94" w14:textId="067E8849" w:rsidR="00E97B6D" w:rsidRPr="001A3513" w:rsidRDefault="00A75DE4" w:rsidP="001A3513">
            <w:pPr>
              <w:pStyle w:val="Loendilik"/>
              <w:ind w:left="-23"/>
              <w:jc w:val="both"/>
              <w:rPr>
                <w:rFonts w:ascii="Times New Roman" w:eastAsia="Calibri" w:hAnsi="Times New Roman" w:cs="Times New Roman"/>
                <w:b/>
                <w:bCs/>
                <w:sz w:val="24"/>
                <w:szCs w:val="24"/>
              </w:rPr>
            </w:pPr>
            <w:r w:rsidRPr="001A3513">
              <w:rPr>
                <w:rFonts w:ascii="Times New Roman" w:eastAsia="Calibri" w:hAnsi="Times New Roman" w:cs="Times New Roman"/>
                <w:sz w:val="24"/>
                <w:szCs w:val="24"/>
              </w:rPr>
              <w:t>Varasemate vähempakkumiste kogemus näitab, et m</w:t>
            </w:r>
            <w:r w:rsidR="00877347" w:rsidRPr="001A3513">
              <w:rPr>
                <w:rFonts w:ascii="Times New Roman" w:eastAsia="Calibri" w:hAnsi="Times New Roman" w:cs="Times New Roman"/>
                <w:sz w:val="24"/>
                <w:szCs w:val="24"/>
              </w:rPr>
              <w:t xml:space="preserve">aismaatuuleparkide </w:t>
            </w:r>
            <w:r w:rsidR="000A5CE9" w:rsidRPr="001A3513">
              <w:rPr>
                <w:rFonts w:ascii="Times New Roman" w:eastAsia="Calibri" w:hAnsi="Times New Roman" w:cs="Times New Roman"/>
                <w:sz w:val="24"/>
                <w:szCs w:val="24"/>
              </w:rPr>
              <w:t xml:space="preserve">toetamine suuremas </w:t>
            </w:r>
            <w:r w:rsidRPr="001A3513">
              <w:rPr>
                <w:rFonts w:ascii="Times New Roman" w:eastAsia="Calibri" w:hAnsi="Times New Roman" w:cs="Times New Roman"/>
                <w:sz w:val="24"/>
                <w:szCs w:val="24"/>
              </w:rPr>
              <w:t>ulatuses</w:t>
            </w:r>
            <w:r w:rsidR="000A5CE9" w:rsidRPr="001A3513">
              <w:rPr>
                <w:rFonts w:ascii="Times New Roman" w:eastAsia="Calibri" w:hAnsi="Times New Roman" w:cs="Times New Roman"/>
                <w:sz w:val="24"/>
                <w:szCs w:val="24"/>
              </w:rPr>
              <w:t xml:space="preserve"> </w:t>
            </w:r>
            <w:r w:rsidRPr="001A3513">
              <w:rPr>
                <w:rFonts w:ascii="Times New Roman" w:eastAsia="Calibri" w:hAnsi="Times New Roman" w:cs="Times New Roman"/>
                <w:sz w:val="24"/>
                <w:szCs w:val="24"/>
              </w:rPr>
              <w:t>ei lisaks ergutavat mõju.</w:t>
            </w:r>
            <w:r w:rsidR="00E97B6D" w:rsidRPr="001A3513">
              <w:rPr>
                <w:rFonts w:ascii="Times New Roman" w:eastAsia="Calibri" w:hAnsi="Times New Roman" w:cs="Times New Roman"/>
                <w:sz w:val="24"/>
                <w:szCs w:val="24"/>
              </w:rPr>
              <w:t xml:space="preserve"> Lisaks on </w:t>
            </w:r>
            <w:r w:rsidR="00E97B6D" w:rsidRPr="001A3513">
              <w:rPr>
                <w:rFonts w:ascii="Times New Roman" w:hAnsi="Times New Roman" w:cs="Times New Roman"/>
                <w:sz w:val="24"/>
                <w:szCs w:val="24"/>
              </w:rPr>
              <w:t>k</w:t>
            </w:r>
            <w:r w:rsidR="00E97B6D" w:rsidRPr="001A3513">
              <w:rPr>
                <w:rStyle w:val="cf01"/>
                <w:rFonts w:ascii="Times New Roman" w:hAnsi="Times New Roman" w:cs="Times New Roman"/>
                <w:sz w:val="24"/>
                <w:szCs w:val="24"/>
              </w:rPr>
              <w:t xml:space="preserve">onkurentsiõiguse järgi riigiabi lubatud anda üksnes turutõrke </w:t>
            </w:r>
            <w:r w:rsidR="00E97B6D" w:rsidRPr="001A3513">
              <w:rPr>
                <w:rStyle w:val="cf01"/>
                <w:rFonts w:ascii="Times New Roman" w:hAnsi="Times New Roman" w:cs="Times New Roman"/>
                <w:sz w:val="24"/>
                <w:szCs w:val="24"/>
              </w:rPr>
              <w:lastRenderedPageBreak/>
              <w:t>kõrvaldamiseks ja minimaalses vajalikus mahus.</w:t>
            </w:r>
          </w:p>
          <w:p w14:paraId="2C254F19" w14:textId="1AFDF253" w:rsidR="00877347" w:rsidRPr="00797EDC" w:rsidRDefault="00877347" w:rsidP="1FD60553">
            <w:pPr>
              <w:pStyle w:val="Loendilik"/>
              <w:ind w:left="-23"/>
              <w:jc w:val="both"/>
              <w:rPr>
                <w:rFonts w:ascii="Times New Roman" w:eastAsia="Calibri" w:hAnsi="Times New Roman" w:cs="Times New Roman"/>
                <w:sz w:val="24"/>
                <w:szCs w:val="24"/>
              </w:rPr>
            </w:pPr>
          </w:p>
        </w:tc>
      </w:tr>
      <w:tr w:rsidR="00BF7896" w:rsidRPr="005C0F32" w14:paraId="717E7B40" w14:textId="77777777" w:rsidTr="3199B330">
        <w:trPr>
          <w:trHeight w:val="300"/>
        </w:trPr>
        <w:tc>
          <w:tcPr>
            <w:tcW w:w="10710" w:type="dxa"/>
          </w:tcPr>
          <w:p w14:paraId="66CAC014" w14:textId="37CA3C78" w:rsidR="0045055F" w:rsidRPr="005C0F32" w:rsidRDefault="0045055F" w:rsidP="00F11797">
            <w:pPr>
              <w:pStyle w:val="Loendilik"/>
              <w:numPr>
                <w:ilvl w:val="0"/>
                <w:numId w:val="4"/>
              </w:numPr>
              <w:spacing w:before="120" w:after="120"/>
              <w:jc w:val="both"/>
              <w:rPr>
                <w:rFonts w:ascii="Times New Roman" w:eastAsia="Times New Roman" w:hAnsi="Times New Roman" w:cs="Times New Roman"/>
                <w:b/>
                <w:bCs/>
                <w:sz w:val="24"/>
                <w:szCs w:val="24"/>
              </w:rPr>
            </w:pPr>
            <w:r w:rsidRPr="005C0F32">
              <w:rPr>
                <w:rFonts w:ascii="Times New Roman" w:eastAsia="Times New Roman" w:hAnsi="Times New Roman" w:cs="Times New Roman"/>
                <w:b/>
                <w:bCs/>
                <w:sz w:val="24"/>
                <w:szCs w:val="24"/>
              </w:rPr>
              <w:lastRenderedPageBreak/>
              <w:t>Muuta VV määruse nr 86 muudatuste eelnõu kavandi punktis 2 ettenähtud määruse § 2 punkti 3 sõnastust järgmiselt:</w:t>
            </w:r>
          </w:p>
          <w:p w14:paraId="092AC51A" w14:textId="77777777" w:rsidR="0045055F" w:rsidRPr="005C0F32" w:rsidRDefault="0045055F" w:rsidP="0045055F">
            <w:pPr>
              <w:spacing w:before="120" w:after="120"/>
              <w:jc w:val="both"/>
              <w:rPr>
                <w:rFonts w:ascii="Times New Roman" w:eastAsia="Times New Roman" w:hAnsi="Times New Roman" w:cs="Times New Roman"/>
                <w:b/>
                <w:bCs/>
                <w:sz w:val="24"/>
                <w:szCs w:val="24"/>
              </w:rPr>
            </w:pPr>
            <w:r w:rsidRPr="28C849A4">
              <w:rPr>
                <w:rFonts w:ascii="Times New Roman" w:hAnsi="Times New Roman" w:cs="Times New Roman"/>
                <w:sz w:val="24"/>
                <w:szCs w:val="24"/>
              </w:rPr>
              <w:t>„3) garanteeritud müügitulu määr – pakkumises esitatud, riigi poolt elektrituruseaduse §-des 59</w:t>
            </w:r>
            <w:r w:rsidRPr="28C849A4">
              <w:rPr>
                <w:rFonts w:ascii="Times New Roman" w:hAnsi="Times New Roman" w:cs="Times New Roman"/>
                <w:sz w:val="24"/>
                <w:szCs w:val="24"/>
                <w:vertAlign w:val="superscript"/>
              </w:rPr>
              <w:t xml:space="preserve">4 </w:t>
            </w:r>
            <w:r w:rsidRPr="28C849A4">
              <w:rPr>
                <w:rFonts w:ascii="Times New Roman" w:hAnsi="Times New Roman" w:cs="Times New Roman"/>
                <w:sz w:val="24"/>
                <w:szCs w:val="24"/>
              </w:rPr>
              <w:t>–59</w:t>
            </w:r>
            <w:r w:rsidRPr="28C849A4">
              <w:rPr>
                <w:rFonts w:ascii="Times New Roman" w:hAnsi="Times New Roman" w:cs="Times New Roman"/>
                <w:sz w:val="24"/>
                <w:szCs w:val="24"/>
                <w:vertAlign w:val="superscript"/>
              </w:rPr>
              <w:t xml:space="preserve">6 </w:t>
            </w:r>
            <w:r w:rsidRPr="28C849A4">
              <w:rPr>
                <w:rFonts w:ascii="Times New Roman" w:hAnsi="Times New Roman" w:cs="Times New Roman"/>
                <w:sz w:val="24"/>
                <w:szCs w:val="24"/>
              </w:rPr>
              <w:t xml:space="preserve">nimetatud toetusele kvalifitseeruva elektrienergia garanteeritud müügitulu, mis koosneb Eesti hinnapiirkonna järgmise päeva </w:t>
            </w:r>
            <w:r w:rsidRPr="28C849A4">
              <w:rPr>
                <w:rFonts w:ascii="Times New Roman" w:hAnsi="Times New Roman" w:cs="Times New Roman"/>
                <w:strike/>
                <w:sz w:val="24"/>
                <w:szCs w:val="24"/>
              </w:rPr>
              <w:t>turu elektrienergia tunni</w:t>
            </w:r>
            <w:r w:rsidRPr="28C849A4">
              <w:rPr>
                <w:rFonts w:ascii="Times New Roman" w:hAnsi="Times New Roman" w:cs="Times New Roman"/>
                <w:sz w:val="24"/>
                <w:szCs w:val="24"/>
              </w:rPr>
              <w:t xml:space="preserve"> </w:t>
            </w:r>
            <w:r w:rsidRPr="28C849A4">
              <w:rPr>
                <w:rFonts w:ascii="Times New Roman" w:hAnsi="Times New Roman" w:cs="Times New Roman"/>
                <w:sz w:val="24"/>
                <w:szCs w:val="24"/>
                <w:u w:val="single"/>
              </w:rPr>
              <w:t>kauplemisperioodi börsihinna</w:t>
            </w:r>
            <w:r w:rsidRPr="28C849A4">
              <w:rPr>
                <w:rFonts w:ascii="Times New Roman" w:hAnsi="Times New Roman" w:cs="Times New Roman"/>
                <w:sz w:val="24"/>
                <w:szCs w:val="24"/>
              </w:rPr>
              <w:t xml:space="preserve"> ja elektrituruseaduse § 59</w:t>
            </w:r>
            <w:r w:rsidRPr="28C849A4">
              <w:rPr>
                <w:rFonts w:ascii="Times New Roman" w:hAnsi="Times New Roman" w:cs="Times New Roman"/>
                <w:sz w:val="24"/>
                <w:szCs w:val="24"/>
                <w:vertAlign w:val="superscript"/>
              </w:rPr>
              <w:t>4</w:t>
            </w:r>
            <w:r w:rsidRPr="28C849A4">
              <w:rPr>
                <w:rFonts w:ascii="Times New Roman" w:hAnsi="Times New Roman" w:cs="Times New Roman"/>
                <w:sz w:val="24"/>
                <w:szCs w:val="24"/>
              </w:rPr>
              <w:t xml:space="preserve"> lõike 54 punktis 1 või punktis 3 nimetatud toetuse summast, elektrituruseaduse § 59</w:t>
            </w:r>
            <w:r w:rsidRPr="28C849A4">
              <w:rPr>
                <w:rFonts w:ascii="Times New Roman" w:hAnsi="Times New Roman" w:cs="Times New Roman"/>
                <w:sz w:val="24"/>
                <w:szCs w:val="24"/>
                <w:vertAlign w:val="superscript"/>
              </w:rPr>
              <w:t>4</w:t>
            </w:r>
            <w:r w:rsidRPr="28C849A4">
              <w:rPr>
                <w:rFonts w:ascii="Times New Roman" w:hAnsi="Times New Roman" w:cs="Times New Roman"/>
                <w:sz w:val="24"/>
                <w:szCs w:val="24"/>
              </w:rPr>
              <w:t xml:space="preserve"> lõike 5</w:t>
            </w:r>
            <w:r w:rsidRPr="28C849A4">
              <w:rPr>
                <w:rFonts w:ascii="Times New Roman" w:hAnsi="Times New Roman" w:cs="Times New Roman"/>
                <w:sz w:val="24"/>
                <w:szCs w:val="24"/>
                <w:vertAlign w:val="superscript"/>
              </w:rPr>
              <w:t>2</w:t>
            </w:r>
            <w:r w:rsidRPr="28C849A4">
              <w:rPr>
                <w:rFonts w:ascii="Times New Roman" w:hAnsi="Times New Roman" w:cs="Times New Roman"/>
                <w:sz w:val="24"/>
                <w:szCs w:val="24"/>
              </w:rPr>
              <w:t xml:space="preserve"> punktide 4 või 5 alusel korraldatud vähempakkumisel pakkumises esitatud kauplemisperioodi hind , elektrituruseaduse § 594 lõike 54 punktis 2 nimetatud toetuse määr, elektrituruseaduse § 59</w:t>
            </w:r>
            <w:r w:rsidRPr="28C849A4">
              <w:rPr>
                <w:rFonts w:ascii="Times New Roman" w:hAnsi="Times New Roman" w:cs="Times New Roman"/>
                <w:sz w:val="24"/>
                <w:szCs w:val="24"/>
                <w:vertAlign w:val="superscript"/>
              </w:rPr>
              <w:t>6</w:t>
            </w:r>
            <w:r w:rsidRPr="28C849A4">
              <w:rPr>
                <w:rFonts w:ascii="Times New Roman" w:hAnsi="Times New Roman" w:cs="Times New Roman"/>
                <w:sz w:val="24"/>
                <w:szCs w:val="24"/>
              </w:rPr>
              <w:t xml:space="preserve"> lõikes 7 nimetatud toetuse määr või statistilist ülekannet puudutaval vähempakkumisel pakkumises esitatud toetuse määr eurodes megavatt-tunni kohta;“;</w:t>
            </w:r>
            <w:r w:rsidRPr="28C849A4">
              <w:rPr>
                <w:rFonts w:ascii="Times New Roman" w:eastAsia="Times New Roman" w:hAnsi="Times New Roman" w:cs="Times New Roman"/>
                <w:b/>
                <w:bCs/>
                <w:sz w:val="24"/>
                <w:szCs w:val="24"/>
              </w:rPr>
              <w:t xml:space="preserve"> </w:t>
            </w:r>
          </w:p>
          <w:p w14:paraId="294B6335" w14:textId="77777777" w:rsidR="0045055F" w:rsidRPr="005C0F32" w:rsidRDefault="0045055F" w:rsidP="0045055F">
            <w:pPr>
              <w:spacing w:before="120" w:after="120"/>
              <w:jc w:val="both"/>
              <w:rPr>
                <w:rFonts w:ascii="Times New Roman" w:eastAsia="Times New Roman" w:hAnsi="Times New Roman" w:cs="Times New Roman"/>
                <w:b/>
                <w:bCs/>
                <w:sz w:val="24"/>
                <w:szCs w:val="24"/>
              </w:rPr>
            </w:pPr>
            <w:r w:rsidRPr="005C0F32">
              <w:rPr>
                <w:rFonts w:ascii="Times New Roman" w:eastAsia="Times New Roman" w:hAnsi="Times New Roman" w:cs="Times New Roman"/>
                <w:b/>
                <w:bCs/>
                <w:sz w:val="24"/>
                <w:szCs w:val="24"/>
              </w:rPr>
              <w:t>Selgitus:</w:t>
            </w:r>
          </w:p>
          <w:p w14:paraId="6309F108" w14:textId="06849100" w:rsidR="00BF7896" w:rsidRPr="005C0F32" w:rsidRDefault="0045055F" w:rsidP="0045055F">
            <w:pPr>
              <w:spacing w:before="120" w:after="120"/>
              <w:jc w:val="both"/>
              <w:rPr>
                <w:rFonts w:ascii="Times New Roman" w:eastAsia="Times New Roman" w:hAnsi="Times New Roman" w:cs="Times New Roman"/>
                <w:sz w:val="24"/>
                <w:szCs w:val="24"/>
              </w:rPr>
            </w:pPr>
            <w:r w:rsidRPr="005C0F32">
              <w:rPr>
                <w:rFonts w:ascii="Times New Roman" w:eastAsia="Times New Roman" w:hAnsi="Times New Roman" w:cs="Times New Roman"/>
                <w:sz w:val="24"/>
                <w:szCs w:val="24"/>
              </w:rPr>
              <w:t>Kauplemisperiood muutub 1 h pealt 15 min peale.</w:t>
            </w:r>
          </w:p>
        </w:tc>
        <w:tc>
          <w:tcPr>
            <w:tcW w:w="3282" w:type="dxa"/>
          </w:tcPr>
          <w:p w14:paraId="02369449" w14:textId="72B01BDA" w:rsidR="00BF7896" w:rsidRPr="00797EDC" w:rsidRDefault="45AB940F"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Mittea</w:t>
            </w:r>
            <w:r w:rsidR="003B0B5F" w:rsidRPr="00797EDC">
              <w:rPr>
                <w:rFonts w:ascii="Times New Roman" w:eastAsia="Calibri" w:hAnsi="Times New Roman" w:cs="Times New Roman"/>
                <w:b/>
                <w:bCs/>
                <w:sz w:val="24"/>
                <w:szCs w:val="24"/>
              </w:rPr>
              <w:t>rvestatud</w:t>
            </w:r>
          </w:p>
          <w:p w14:paraId="0F70B28D" w14:textId="627D01B9" w:rsidR="003B0B5F" w:rsidRPr="001A3513" w:rsidRDefault="0CF26EC6" w:rsidP="001A3513">
            <w:pPr>
              <w:jc w:val="both"/>
              <w:rPr>
                <w:rFonts w:ascii="Times New Roman" w:hAnsi="Times New Roman" w:cs="Times New Roman"/>
                <w:sz w:val="24"/>
                <w:szCs w:val="24"/>
              </w:rPr>
            </w:pPr>
            <w:r w:rsidRPr="001A3513">
              <w:rPr>
                <w:rFonts w:ascii="Times New Roman" w:eastAsia="Calibri" w:hAnsi="Times New Roman" w:cs="Times New Roman"/>
                <w:sz w:val="24"/>
                <w:szCs w:val="24"/>
              </w:rPr>
              <w:t xml:space="preserve">Garanteeritud müügitulu määra mõiste on määruses </w:t>
            </w:r>
            <w:r w:rsidR="7C608456" w:rsidRPr="001A3513">
              <w:rPr>
                <w:rFonts w:ascii="Times New Roman" w:eastAsia="Calibri" w:hAnsi="Times New Roman" w:cs="Times New Roman"/>
                <w:sz w:val="24"/>
                <w:szCs w:val="24"/>
              </w:rPr>
              <w:t xml:space="preserve">defineeritud </w:t>
            </w:r>
            <w:r w:rsidRPr="001A3513">
              <w:rPr>
                <w:rFonts w:ascii="Times New Roman" w:eastAsia="Calibri" w:hAnsi="Times New Roman" w:cs="Times New Roman"/>
                <w:sz w:val="24"/>
                <w:szCs w:val="24"/>
              </w:rPr>
              <w:t>selleks, et järjestada vähempakkumisele esitatud pakku</w:t>
            </w:r>
            <w:r w:rsidR="4A77284D" w:rsidRPr="001A3513">
              <w:rPr>
                <w:rFonts w:ascii="Times New Roman" w:eastAsia="Calibri" w:hAnsi="Times New Roman" w:cs="Times New Roman"/>
                <w:sz w:val="24"/>
                <w:szCs w:val="24"/>
              </w:rPr>
              <w:t>mised</w:t>
            </w:r>
            <w:r w:rsidR="5640C43D" w:rsidRPr="001A3513">
              <w:rPr>
                <w:rFonts w:ascii="Times New Roman" w:eastAsia="Calibri" w:hAnsi="Times New Roman" w:cs="Times New Roman"/>
                <w:sz w:val="24"/>
                <w:szCs w:val="24"/>
              </w:rPr>
              <w:t>.</w:t>
            </w:r>
            <w:r w:rsidRPr="001A3513">
              <w:rPr>
                <w:rFonts w:ascii="Times New Roman" w:eastAsia="Calibri" w:hAnsi="Times New Roman" w:cs="Times New Roman"/>
                <w:sz w:val="24"/>
                <w:szCs w:val="24"/>
              </w:rPr>
              <w:t xml:space="preserve"> </w:t>
            </w:r>
            <w:r w:rsidR="45F57CEE" w:rsidRPr="001A3513">
              <w:rPr>
                <w:rFonts w:ascii="Times New Roman" w:eastAsia="Calibri" w:hAnsi="Times New Roman" w:cs="Times New Roman"/>
                <w:sz w:val="24"/>
                <w:szCs w:val="24"/>
              </w:rPr>
              <w:t>Definitsiooni e</w:t>
            </w:r>
            <w:r w:rsidR="7C70F415" w:rsidRPr="001A3513">
              <w:rPr>
                <w:rFonts w:ascii="Times New Roman" w:eastAsia="Calibri" w:hAnsi="Times New Roman" w:cs="Times New Roman"/>
                <w:sz w:val="24"/>
                <w:szCs w:val="24"/>
              </w:rPr>
              <w:t xml:space="preserve">simene lauseosa puudutab </w:t>
            </w:r>
            <w:r w:rsidR="1F193D1C" w:rsidRPr="001A3513">
              <w:rPr>
                <w:rFonts w:ascii="Times New Roman" w:hAnsi="Times New Roman" w:cs="Times New Roman"/>
                <w:sz w:val="24"/>
                <w:szCs w:val="24"/>
              </w:rPr>
              <w:t xml:space="preserve">garanteeritud müügitulu määra arvestamist </w:t>
            </w:r>
            <w:r w:rsidR="04864FD6" w:rsidRPr="001A3513">
              <w:rPr>
                <w:rFonts w:ascii="Times New Roman" w:hAnsi="Times New Roman" w:cs="Times New Roman"/>
                <w:sz w:val="24"/>
                <w:szCs w:val="24"/>
              </w:rPr>
              <w:t xml:space="preserve">varem </w:t>
            </w:r>
            <w:r w:rsidR="7C70F415" w:rsidRPr="001A3513">
              <w:rPr>
                <w:rFonts w:ascii="Times New Roman" w:eastAsia="Calibri" w:hAnsi="Times New Roman" w:cs="Times New Roman"/>
                <w:sz w:val="24"/>
                <w:szCs w:val="24"/>
              </w:rPr>
              <w:t xml:space="preserve">ELTS </w:t>
            </w:r>
            <w:r w:rsidR="7C70F415" w:rsidRPr="001A3513">
              <w:rPr>
                <w:rFonts w:ascii="Times New Roman" w:hAnsi="Times New Roman" w:cs="Times New Roman"/>
                <w:sz w:val="24"/>
                <w:szCs w:val="24"/>
              </w:rPr>
              <w:t>§ 59</w:t>
            </w:r>
            <w:r w:rsidR="2BF42EA1" w:rsidRPr="001A3513">
              <w:rPr>
                <w:rFonts w:ascii="Times New Roman" w:hAnsi="Times New Roman" w:cs="Times New Roman"/>
                <w:sz w:val="24"/>
                <w:szCs w:val="24"/>
                <w:vertAlign w:val="superscript"/>
              </w:rPr>
              <w:t>4</w:t>
            </w:r>
            <w:r w:rsidR="7C70F415" w:rsidRPr="001A3513">
              <w:rPr>
                <w:rFonts w:ascii="Times New Roman" w:hAnsi="Times New Roman" w:cs="Times New Roman"/>
                <w:sz w:val="24"/>
                <w:szCs w:val="24"/>
              </w:rPr>
              <w:t xml:space="preserve"> lõike 5</w:t>
            </w:r>
            <w:r w:rsidR="27D80571" w:rsidRPr="001A3513">
              <w:rPr>
                <w:rFonts w:ascii="Times New Roman" w:hAnsi="Times New Roman" w:cs="Times New Roman"/>
                <w:sz w:val="24"/>
                <w:szCs w:val="24"/>
                <w:vertAlign w:val="superscript"/>
              </w:rPr>
              <w:t>2</w:t>
            </w:r>
            <w:r w:rsidR="7C70F415" w:rsidRPr="001A3513">
              <w:rPr>
                <w:rFonts w:ascii="Times New Roman" w:hAnsi="Times New Roman" w:cs="Times New Roman"/>
                <w:sz w:val="24"/>
                <w:szCs w:val="24"/>
              </w:rPr>
              <w:t xml:space="preserve"> punkti</w:t>
            </w:r>
            <w:r w:rsidR="61510007" w:rsidRPr="001A3513">
              <w:rPr>
                <w:rFonts w:ascii="Times New Roman" w:hAnsi="Times New Roman" w:cs="Times New Roman"/>
                <w:sz w:val="24"/>
                <w:szCs w:val="24"/>
              </w:rPr>
              <w:t>de</w:t>
            </w:r>
            <w:r w:rsidR="7C70F415" w:rsidRPr="001A3513">
              <w:rPr>
                <w:rFonts w:ascii="Times New Roman" w:hAnsi="Times New Roman" w:cs="Times New Roman"/>
                <w:sz w:val="24"/>
                <w:szCs w:val="24"/>
              </w:rPr>
              <w:t xml:space="preserve"> 1 või 3</w:t>
            </w:r>
            <w:r w:rsidR="2F55DFDE" w:rsidRPr="001A3513">
              <w:rPr>
                <w:rFonts w:ascii="Times New Roman" w:hAnsi="Times New Roman" w:cs="Times New Roman"/>
                <w:sz w:val="24"/>
                <w:szCs w:val="24"/>
              </w:rPr>
              <w:t xml:space="preserve"> alusel</w:t>
            </w:r>
            <w:r w:rsidR="7C70F415" w:rsidRPr="001A3513">
              <w:rPr>
                <w:rFonts w:ascii="Times New Roman" w:hAnsi="Times New Roman" w:cs="Times New Roman"/>
                <w:sz w:val="24"/>
                <w:szCs w:val="24"/>
              </w:rPr>
              <w:t xml:space="preserve"> </w:t>
            </w:r>
            <w:r w:rsidR="58FE05CA" w:rsidRPr="001A3513">
              <w:rPr>
                <w:rFonts w:ascii="Times New Roman" w:hAnsi="Times New Roman" w:cs="Times New Roman"/>
                <w:sz w:val="24"/>
                <w:szCs w:val="24"/>
              </w:rPr>
              <w:t xml:space="preserve">toimunud </w:t>
            </w:r>
            <w:r w:rsidR="5059B310" w:rsidRPr="001A3513">
              <w:rPr>
                <w:rFonts w:ascii="Times New Roman" w:hAnsi="Times New Roman" w:cs="Times New Roman"/>
                <w:sz w:val="24"/>
                <w:szCs w:val="24"/>
              </w:rPr>
              <w:t xml:space="preserve">vähempakkumistel, </w:t>
            </w:r>
            <w:r w:rsidR="7E09FA89" w:rsidRPr="001A3513">
              <w:rPr>
                <w:rFonts w:ascii="Times New Roman" w:hAnsi="Times New Roman" w:cs="Times New Roman"/>
                <w:sz w:val="24"/>
                <w:szCs w:val="24"/>
              </w:rPr>
              <w:t xml:space="preserve">mistõttu </w:t>
            </w:r>
            <w:r w:rsidR="5059B310" w:rsidRPr="001A3513">
              <w:rPr>
                <w:rFonts w:ascii="Times New Roman" w:hAnsi="Times New Roman" w:cs="Times New Roman"/>
                <w:sz w:val="24"/>
                <w:szCs w:val="24"/>
              </w:rPr>
              <w:t xml:space="preserve">selle korrigeerimine ei ole vajalik. Uute ELTS </w:t>
            </w:r>
            <w:r w:rsidR="49579F6F" w:rsidRPr="001A3513">
              <w:rPr>
                <w:rFonts w:ascii="Times New Roman" w:hAnsi="Times New Roman" w:cs="Times New Roman"/>
                <w:sz w:val="24"/>
                <w:szCs w:val="24"/>
              </w:rPr>
              <w:t>§ 59</w:t>
            </w:r>
            <w:r w:rsidR="49579F6F" w:rsidRPr="001A3513">
              <w:rPr>
                <w:rFonts w:ascii="Times New Roman" w:hAnsi="Times New Roman" w:cs="Times New Roman"/>
                <w:sz w:val="24"/>
                <w:szCs w:val="24"/>
                <w:vertAlign w:val="superscript"/>
              </w:rPr>
              <w:t>4</w:t>
            </w:r>
            <w:r w:rsidR="49579F6F" w:rsidRPr="001A3513">
              <w:rPr>
                <w:rFonts w:ascii="Times New Roman" w:hAnsi="Times New Roman" w:cs="Times New Roman"/>
                <w:sz w:val="24"/>
                <w:szCs w:val="24"/>
              </w:rPr>
              <w:t xml:space="preserve"> lõike 5</w:t>
            </w:r>
            <w:r w:rsidR="49579F6F" w:rsidRPr="001A3513">
              <w:rPr>
                <w:rFonts w:ascii="Times New Roman" w:hAnsi="Times New Roman" w:cs="Times New Roman"/>
                <w:sz w:val="24"/>
                <w:szCs w:val="24"/>
                <w:vertAlign w:val="superscript"/>
              </w:rPr>
              <w:t>2</w:t>
            </w:r>
            <w:r w:rsidR="49579F6F" w:rsidRPr="001A3513">
              <w:rPr>
                <w:rFonts w:ascii="Times New Roman" w:hAnsi="Times New Roman" w:cs="Times New Roman"/>
                <w:sz w:val="24"/>
                <w:szCs w:val="24"/>
              </w:rPr>
              <w:t xml:space="preserve"> punktide 4 või 5 alusel korraldatud vähempakkumi</w:t>
            </w:r>
            <w:r w:rsidR="6BB71380" w:rsidRPr="001A3513">
              <w:rPr>
                <w:rFonts w:ascii="Times New Roman" w:hAnsi="Times New Roman" w:cs="Times New Roman"/>
                <w:sz w:val="24"/>
                <w:szCs w:val="24"/>
              </w:rPr>
              <w:t>ste osas on garanteeritud müüg</w:t>
            </w:r>
            <w:r w:rsidR="30830627" w:rsidRPr="001A3513">
              <w:rPr>
                <w:rFonts w:ascii="Times New Roman" w:hAnsi="Times New Roman" w:cs="Times New Roman"/>
                <w:sz w:val="24"/>
                <w:szCs w:val="24"/>
              </w:rPr>
              <w:t>i</w:t>
            </w:r>
            <w:r w:rsidR="6BB71380" w:rsidRPr="001A3513">
              <w:rPr>
                <w:rFonts w:ascii="Times New Roman" w:hAnsi="Times New Roman" w:cs="Times New Roman"/>
                <w:sz w:val="24"/>
                <w:szCs w:val="24"/>
              </w:rPr>
              <w:t xml:space="preserve">tulu määra mõiste </w:t>
            </w:r>
            <w:r w:rsidR="285D413C" w:rsidRPr="001A3513">
              <w:rPr>
                <w:rFonts w:ascii="Times New Roman" w:hAnsi="Times New Roman" w:cs="Times New Roman"/>
                <w:sz w:val="24"/>
                <w:szCs w:val="24"/>
              </w:rPr>
              <w:t xml:space="preserve">eelnõus toodud sõnastuses </w:t>
            </w:r>
            <w:r w:rsidR="6BB71380" w:rsidRPr="001A3513">
              <w:rPr>
                <w:rFonts w:ascii="Times New Roman" w:hAnsi="Times New Roman" w:cs="Times New Roman"/>
                <w:sz w:val="24"/>
                <w:szCs w:val="24"/>
              </w:rPr>
              <w:t>seotud kauplemisperioodi hinnaga.</w:t>
            </w:r>
          </w:p>
        </w:tc>
      </w:tr>
      <w:tr w:rsidR="00BF7896" w:rsidRPr="005C0F32" w14:paraId="62CCAF05" w14:textId="77777777" w:rsidTr="3199B330">
        <w:trPr>
          <w:trHeight w:val="300"/>
        </w:trPr>
        <w:tc>
          <w:tcPr>
            <w:tcW w:w="10710" w:type="dxa"/>
          </w:tcPr>
          <w:p w14:paraId="1A7423C6" w14:textId="00D71BEC" w:rsidR="00BF7896" w:rsidRPr="005C0F32" w:rsidRDefault="00C16BFE" w:rsidP="007F4F0D">
            <w:pPr>
              <w:rPr>
                <w:rFonts w:ascii="Times New Roman" w:hAnsi="Times New Roman" w:cs="Times New Roman"/>
                <w:b/>
                <w:bCs/>
                <w:sz w:val="24"/>
                <w:szCs w:val="24"/>
              </w:rPr>
            </w:pPr>
            <w:r w:rsidRPr="003B0B5F">
              <w:rPr>
                <w:rFonts w:ascii="Times New Roman" w:hAnsi="Times New Roman" w:cs="Times New Roman"/>
                <w:b/>
                <w:bCs/>
                <w:sz w:val="24"/>
                <w:szCs w:val="24"/>
                <w:highlight w:val="cyan"/>
              </w:rPr>
              <w:t>Viru Keemia Grupp</w:t>
            </w:r>
          </w:p>
        </w:tc>
        <w:tc>
          <w:tcPr>
            <w:tcW w:w="3282" w:type="dxa"/>
          </w:tcPr>
          <w:p w14:paraId="748D10DC" w14:textId="77777777" w:rsidR="00BF7896" w:rsidRPr="00797EDC" w:rsidRDefault="00BF7896" w:rsidP="1FD60553">
            <w:pPr>
              <w:pStyle w:val="Loendilik"/>
              <w:ind w:left="-23"/>
              <w:jc w:val="both"/>
              <w:rPr>
                <w:rFonts w:ascii="Times New Roman" w:eastAsia="Calibri" w:hAnsi="Times New Roman" w:cs="Times New Roman"/>
                <w:b/>
                <w:bCs/>
                <w:sz w:val="24"/>
                <w:szCs w:val="24"/>
              </w:rPr>
            </w:pPr>
          </w:p>
        </w:tc>
      </w:tr>
      <w:tr w:rsidR="00C16BFE" w:rsidRPr="005C0F32" w14:paraId="6C3D098B" w14:textId="77777777" w:rsidTr="3199B330">
        <w:trPr>
          <w:trHeight w:val="300"/>
        </w:trPr>
        <w:tc>
          <w:tcPr>
            <w:tcW w:w="10710" w:type="dxa"/>
          </w:tcPr>
          <w:p w14:paraId="589F5DC6" w14:textId="0745AC85" w:rsidR="00C16BFE" w:rsidRPr="005C0F32" w:rsidRDefault="000E6D75" w:rsidP="007F4F0D">
            <w:pPr>
              <w:rPr>
                <w:rFonts w:ascii="Times New Roman" w:hAnsi="Times New Roman" w:cs="Times New Roman"/>
                <w:b/>
                <w:bCs/>
                <w:sz w:val="24"/>
                <w:szCs w:val="24"/>
              </w:rPr>
            </w:pPr>
            <w:r w:rsidRPr="005C0F32">
              <w:rPr>
                <w:rFonts w:ascii="Times New Roman" w:hAnsi="Times New Roman" w:cs="Times New Roman"/>
                <w:sz w:val="24"/>
                <w:szCs w:val="24"/>
              </w:rPr>
              <w:t xml:space="preserve">Meie hinnangul on eelnõu seletuskirjas toodud mõjude analüüs puudulik ja analüüsis kasutatud stsenaariumid ei vasta eelnõus kavandatud mahtudele. Seletuskirjas toodud väide, et tulevikus Eesti tarbijate makstav taastuvenergia tasu väheneb, põhineb hüpoteesil, et 2035. aastaks kasvab Eesti sisemaine elektrienergia tarbimine üle kahe korra jõudes tänaselt 8,2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aastalt 18,3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aastani. Samas ei ole seletuskirjas välja toodud kuidas niivõrd suuremahuline, tarbijate kulul doteeritud, tuuleenergia lisandumine Eesti rahvusvahelist konkurentsivõimet suurendab. Tarbijatelt nõutavad taastuvenergia tasu, põhivõrgu fikseeritud hinna tasu, sagedusreservide- ja võimsusmehhanismide tasud ei anna alust oodata uute energiamahukate tööstuste lisandumist Eestisse. Tuuleparkide toetamiseks vajalikud taastuvenergia tasud muudavad Eesti lõpptarbija elektri hinna meie naaberturgudega võrreldes konkurentsivõimetuks. Pigem võib eeldada tööstusinvesteeringute liikumist meie naaberriikidesse. Läti ja Leedu tarbijad saavad osa Eesti taastuvenergia tasu toel uute tuuleparkide lisandumisega kaasnevatest madalatest börsihindadest, samas selle eest eelnimetatud tasusid maksmata.</w:t>
            </w:r>
          </w:p>
        </w:tc>
        <w:tc>
          <w:tcPr>
            <w:tcW w:w="3282" w:type="dxa"/>
          </w:tcPr>
          <w:p w14:paraId="682F6385" w14:textId="19F28BA8" w:rsidR="002F6B66" w:rsidRPr="00797EDC" w:rsidRDefault="00DA528D" w:rsidP="002D4C7C">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Teadmiseks võetud</w:t>
            </w:r>
          </w:p>
          <w:p w14:paraId="3A3E3BAA" w14:textId="77777777" w:rsidR="00DA528D" w:rsidRDefault="00DA528D" w:rsidP="001A3513">
            <w:pPr>
              <w:jc w:val="both"/>
              <w:rPr>
                <w:rFonts w:ascii="Times New Roman" w:eastAsia="Calibri" w:hAnsi="Times New Roman" w:cs="Times New Roman"/>
                <w:sz w:val="24"/>
                <w:szCs w:val="24"/>
              </w:rPr>
            </w:pPr>
          </w:p>
          <w:p w14:paraId="14B76EFA" w14:textId="08E468BA" w:rsidR="00EC0087" w:rsidRPr="001A3513" w:rsidRDefault="00DA528D" w:rsidP="001A3513">
            <w:pPr>
              <w:jc w:val="both"/>
              <w:rPr>
                <w:rFonts w:ascii="Times New Roman" w:eastAsia="Calibri" w:hAnsi="Times New Roman" w:cs="Times New Roman"/>
                <w:sz w:val="24"/>
                <w:szCs w:val="24"/>
              </w:rPr>
            </w:pPr>
            <w:r>
              <w:rPr>
                <w:rFonts w:ascii="Times New Roman" w:eastAsia="Calibri" w:hAnsi="Times New Roman" w:cs="Times New Roman"/>
                <w:sz w:val="24"/>
                <w:szCs w:val="24"/>
              </w:rPr>
              <w:t>Selgitame, et m</w:t>
            </w:r>
            <w:r w:rsidR="00EC0087" w:rsidRPr="001A3513">
              <w:rPr>
                <w:rFonts w:ascii="Times New Roman" w:eastAsia="Calibri" w:hAnsi="Times New Roman" w:cs="Times New Roman"/>
                <w:sz w:val="24"/>
                <w:szCs w:val="24"/>
              </w:rPr>
              <w:t xml:space="preserve">õjude analüüsis võib olla keeruline kõikvõimalikke stsenaariume täpselt ennustada, kuid need on koostatud parima võimaliku informatsiooni ja ekspertide arvamuste põhjal. Analüüside ja prognooside täpsust on võimalik pidevalt täiendada ja ajakohastada vastavalt </w:t>
            </w:r>
            <w:r w:rsidR="00EC0087" w:rsidRPr="001A3513">
              <w:rPr>
                <w:rFonts w:ascii="Times New Roman" w:eastAsia="Calibri" w:hAnsi="Times New Roman" w:cs="Times New Roman"/>
                <w:sz w:val="24"/>
                <w:szCs w:val="24"/>
              </w:rPr>
              <w:lastRenderedPageBreak/>
              <w:t xml:space="preserve">turuolukorra muutustele ja täpsustavatele andmetele. Elektritarbimise kasvuprognoos põhineb praegustel trendidel, sealhulgas tööstuse </w:t>
            </w:r>
            <w:proofErr w:type="spellStart"/>
            <w:r w:rsidR="00EC0087" w:rsidRPr="001A3513">
              <w:rPr>
                <w:rFonts w:ascii="Times New Roman" w:eastAsia="Calibri" w:hAnsi="Times New Roman" w:cs="Times New Roman"/>
                <w:sz w:val="24"/>
                <w:szCs w:val="24"/>
              </w:rPr>
              <w:t>digitaliseerumisel</w:t>
            </w:r>
            <w:proofErr w:type="spellEnd"/>
            <w:r w:rsidR="00EC0087" w:rsidRPr="001A3513">
              <w:rPr>
                <w:rFonts w:ascii="Times New Roman" w:eastAsia="Calibri" w:hAnsi="Times New Roman" w:cs="Times New Roman"/>
                <w:sz w:val="24"/>
                <w:szCs w:val="24"/>
              </w:rPr>
              <w:t xml:space="preserve"> ja elektrifitseerimisel, mis on kooskõlas Euroopa Liidu roheleppe eesmärkidega. Kuigi kasvutempo võib tunduda kõrge, toetavad need prognoosid taastuvenergia investeeringute vajadust ja pikaajalist energiasõltumatust. Taastuvenergia võimekus ja varustuskindlus on strateegilised eelised, mis aitavad tagada energiavarustuse sõltumatust ja stabiilsust. Suurenev taastuvenergia osakaal võib kaasa tuua madalamad energia hinnad pikemas perspektiivis ja suurendada Eesti atraktiivsust rohepöörde suunas liikuvatele ettevõtetele. Taastuvenergia tasud on ajutised ja ajas kahanevad, kuna taastuvenergia projektid muutuvad majanduslikult isemajandavateks. Pikaajalises perspektiivis toovad taastuvenergia investeeringud kaasa väiksemad elektrikulud ja energiakindluse, mis aitab tasakaalustada võimalikke </w:t>
            </w:r>
            <w:r w:rsidR="00EC0087" w:rsidRPr="001A3513">
              <w:rPr>
                <w:rFonts w:ascii="Times New Roman" w:eastAsia="Calibri" w:hAnsi="Times New Roman" w:cs="Times New Roman"/>
                <w:sz w:val="24"/>
                <w:szCs w:val="24"/>
              </w:rPr>
              <w:lastRenderedPageBreak/>
              <w:t>lühiajalisi hinnatõuse. Elektriturg on tihedalt integreeritud ja kõiki turuosalisi mõjutavad naaberriikide energiapoliitikad ja turuhinnad. Eesti elektrienergia eksport naaberriikidesse aitab tugevdada regionaalset energiaturgu ja luua tasakaalustatud hinnad kogu piirkonnas. Samuti jagunevad taastuvenergia tasud reguleeritud mehhanismide kaudu.</w:t>
            </w:r>
          </w:p>
          <w:p w14:paraId="74DD6372" w14:textId="5C2926BD" w:rsidR="00C16BFE" w:rsidRPr="00797EDC" w:rsidRDefault="00C16BFE" w:rsidP="1FD60553">
            <w:pPr>
              <w:pStyle w:val="Loendilik"/>
              <w:ind w:left="-23"/>
              <w:jc w:val="both"/>
              <w:rPr>
                <w:rFonts w:ascii="Times New Roman" w:eastAsia="Calibri" w:hAnsi="Times New Roman" w:cs="Times New Roman"/>
                <w:sz w:val="24"/>
                <w:szCs w:val="24"/>
              </w:rPr>
            </w:pPr>
          </w:p>
        </w:tc>
      </w:tr>
      <w:tr w:rsidR="00C16BFE" w:rsidRPr="005C0F32" w14:paraId="7EFC5CF1" w14:textId="77777777" w:rsidTr="3199B330">
        <w:trPr>
          <w:trHeight w:val="300"/>
        </w:trPr>
        <w:tc>
          <w:tcPr>
            <w:tcW w:w="10710" w:type="dxa"/>
          </w:tcPr>
          <w:p w14:paraId="69597095" w14:textId="77777777" w:rsidR="0031109B" w:rsidRPr="005C0F32" w:rsidRDefault="000E6D75" w:rsidP="007F4F0D">
            <w:pPr>
              <w:rPr>
                <w:rFonts w:ascii="Times New Roman" w:hAnsi="Times New Roman" w:cs="Times New Roman"/>
                <w:sz w:val="24"/>
                <w:szCs w:val="24"/>
              </w:rPr>
            </w:pPr>
            <w:r w:rsidRPr="005C0F32">
              <w:rPr>
                <w:rFonts w:ascii="Times New Roman" w:hAnsi="Times New Roman" w:cs="Times New Roman"/>
                <w:sz w:val="24"/>
                <w:szCs w:val="24"/>
              </w:rPr>
              <w:lastRenderedPageBreak/>
              <w:t xml:space="preserve">1. Elektrituruseaduse ja energiamajanduse korralduse seaduse muutmise seaduse eelnõu seletuskirja punktis 6 toodud mõju analüüs. Valitud eeldused ja turuhinna modelleerimine. Eelnõu seletuskirjas on viidatud Kliimaministeeriumi energeetikaosakonna 26.04.2024 memole „Memo 2030 elektrihinnast ja taastuvenergia tasu muudatustest “. Memos on 2030 ja 2035 aastate elektribörsi hinnaprognoosi aluseks võetud stsenaarium 2 „RD“. Antud stsenaariumi eeldusteks on võetud 1160 MW päikeseenergia, 776 MW maismaa tuule ja 1000 MW meretuule olemasolu Eestis. Kasutatud stsenaarium ei vasta eelnõuga seatud eesmärgist tuua turule 4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aastas maismaa tuuleparkide energiat (ca 1400 MW võimsust) ja 2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aastas meretuuleparkide energiat (ca 500 MW võimsust). Sama memo kolmandas peatükis „100% taastuvelektri eesmärgi täitmine ja teekond eesmärgini“ toodud aga tabelis prognoositakse Eestis 2030. aastaks hoopis 2850 MW maismaa tuuleparke. </w:t>
            </w:r>
          </w:p>
          <w:p w14:paraId="50842B6B" w14:textId="77777777" w:rsidR="0031109B" w:rsidRPr="005C0F32" w:rsidRDefault="000E6D75" w:rsidP="007F4F0D">
            <w:pPr>
              <w:rPr>
                <w:rFonts w:ascii="Times New Roman" w:hAnsi="Times New Roman" w:cs="Times New Roman"/>
                <w:sz w:val="24"/>
                <w:szCs w:val="24"/>
              </w:rPr>
            </w:pPr>
            <w:r w:rsidRPr="005C0F32">
              <w:rPr>
                <w:rFonts w:ascii="Times New Roman" w:hAnsi="Times New Roman" w:cs="Times New Roman"/>
                <w:sz w:val="24"/>
                <w:szCs w:val="24"/>
              </w:rPr>
              <w:t xml:space="preserve">Kokkuvõtteks ei ole hetkel võimalik seaduseelnõu seletuskirjast aru saada, millist stsenaariumi järelduste tegemisel kasutati ja miks ei ole analüüsitud esitatud eelnõus kavandatud tootmismahte. Piirkondlik mõju ja tuuleparkide teenitav elektrihind. Lisaks Eestis olevatele tootmisvõimsustele mõjutavad meie elektri börsihinda ka läbi välisühenduste eksporditava ja/või imporditava elektrienergia kogused. Seaduseelnõu seletuskirjas toodud elektri börsihinna prognoosides ei ole arvestatud Eesti vahetute energiakaubanduse partnerite (Baltikum ja Soome) energiatootmise võimsuste ja profiiliga. Tänaseks on Baltikumis ehituses ca 1000 MW tuuleparke, mis jõuavad turule 2025.-2026. aastal. Leedu korraldab 2025. aastal </w:t>
            </w:r>
            <w:proofErr w:type="spellStart"/>
            <w:r w:rsidRPr="005C0F32">
              <w:rPr>
                <w:rFonts w:ascii="Times New Roman" w:hAnsi="Times New Roman" w:cs="Times New Roman"/>
                <w:sz w:val="24"/>
                <w:szCs w:val="24"/>
              </w:rPr>
              <w:t>CfD</w:t>
            </w:r>
            <w:proofErr w:type="spellEnd"/>
            <w:r w:rsidRPr="005C0F32">
              <w:rPr>
                <w:rFonts w:ascii="Times New Roman" w:hAnsi="Times New Roman" w:cs="Times New Roman"/>
                <w:sz w:val="24"/>
                <w:szCs w:val="24"/>
              </w:rPr>
              <w:t xml:space="preserve"> vähempakkumise 700 MW meretuulepargi rajamiseks. Tuuleenergiasse tehtavad suuremahuliste investeeringute tulemuseks on tuulistel tundidel elektrienergia </w:t>
            </w:r>
            <w:proofErr w:type="spellStart"/>
            <w:r w:rsidRPr="005C0F32">
              <w:rPr>
                <w:rFonts w:ascii="Times New Roman" w:hAnsi="Times New Roman" w:cs="Times New Roman"/>
                <w:sz w:val="24"/>
                <w:szCs w:val="24"/>
              </w:rPr>
              <w:t>ülepakkumine</w:t>
            </w:r>
            <w:proofErr w:type="spellEnd"/>
            <w:r w:rsidRPr="005C0F32">
              <w:rPr>
                <w:rFonts w:ascii="Times New Roman" w:hAnsi="Times New Roman" w:cs="Times New Roman"/>
                <w:sz w:val="24"/>
                <w:szCs w:val="24"/>
              </w:rPr>
              <w:t xml:space="preserve"> ja sellest tulenevad aasta keskmisest madalamad elektri börsihinnad. </w:t>
            </w:r>
          </w:p>
          <w:p w14:paraId="48CAC619" w14:textId="25E8013C" w:rsidR="00C16BFE" w:rsidRPr="005C0F32" w:rsidRDefault="000E6D75" w:rsidP="007F4F0D">
            <w:pPr>
              <w:rPr>
                <w:rFonts w:ascii="Times New Roman" w:hAnsi="Times New Roman" w:cs="Times New Roman"/>
                <w:b/>
                <w:bCs/>
                <w:sz w:val="24"/>
                <w:szCs w:val="24"/>
              </w:rPr>
            </w:pPr>
            <w:r w:rsidRPr="005C0F32">
              <w:rPr>
                <w:rFonts w:ascii="Times New Roman" w:hAnsi="Times New Roman" w:cs="Times New Roman"/>
                <w:sz w:val="24"/>
                <w:szCs w:val="24"/>
              </w:rPr>
              <w:lastRenderedPageBreak/>
              <w:t>Eelnõus toodud taastuvenergia tasu prognoos on ekslikult madal. Prognoosis ei arvestata tuuleparkide poolt teenitavat aasta keskmisest madalamat elektri börsihinda.</w:t>
            </w:r>
          </w:p>
        </w:tc>
        <w:tc>
          <w:tcPr>
            <w:tcW w:w="3282" w:type="dxa"/>
          </w:tcPr>
          <w:p w14:paraId="470B2911" w14:textId="3501C7DD" w:rsidR="00517B7F" w:rsidRPr="00797EDC" w:rsidRDefault="000A6A32" w:rsidP="00D33FA6">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Teadmiseks võetud</w:t>
            </w:r>
          </w:p>
          <w:p w14:paraId="1A2E4B04" w14:textId="77777777" w:rsidR="00DA528D" w:rsidRDefault="00DA528D" w:rsidP="001A3513">
            <w:pPr>
              <w:jc w:val="both"/>
              <w:rPr>
                <w:rFonts w:ascii="Times New Roman" w:eastAsia="Calibri" w:hAnsi="Times New Roman" w:cs="Times New Roman"/>
                <w:sz w:val="24"/>
                <w:szCs w:val="24"/>
              </w:rPr>
            </w:pPr>
          </w:p>
          <w:p w14:paraId="79D9F057" w14:textId="6CB175B7" w:rsidR="00D33FA6" w:rsidRPr="001A3513" w:rsidRDefault="00DA528D" w:rsidP="001A3513">
            <w:pPr>
              <w:jc w:val="both"/>
              <w:rPr>
                <w:rFonts w:ascii="Times New Roman" w:eastAsia="Calibri" w:hAnsi="Times New Roman" w:cs="Times New Roman"/>
                <w:sz w:val="24"/>
                <w:szCs w:val="24"/>
              </w:rPr>
            </w:pPr>
            <w:r>
              <w:rPr>
                <w:rFonts w:ascii="Times New Roman" w:eastAsia="Calibri" w:hAnsi="Times New Roman" w:cs="Times New Roman"/>
                <w:sz w:val="24"/>
                <w:szCs w:val="24"/>
              </w:rPr>
              <w:t>Selgitame, et e</w:t>
            </w:r>
            <w:r w:rsidR="00D33FA6" w:rsidRPr="001A3513">
              <w:rPr>
                <w:rFonts w:ascii="Times New Roman" w:eastAsia="Calibri" w:hAnsi="Times New Roman" w:cs="Times New Roman"/>
                <w:sz w:val="24"/>
                <w:szCs w:val="24"/>
              </w:rPr>
              <w:t xml:space="preserve">elnõu seletuskirjas toodud mõjuanalüüsis kasutatud stsenaarium võib erineda eelnõus seatud tootmismahtudest, kuna prognoosides kasutatakse sageli mitmeid stsenaariume, et testida erinevaid tulevikuarenguid. Stsenaarium 2 on valitud konkreetsete eelduste testimiseks, mitte eelnõus seatud lõplikeks eesmärkideks. Samuti kasutatakse prognoosides </w:t>
            </w:r>
            <w:r w:rsidR="004F275E" w:rsidRPr="001A3513">
              <w:rPr>
                <w:rFonts w:ascii="Times New Roman" w:eastAsia="Calibri" w:hAnsi="Times New Roman" w:cs="Times New Roman"/>
                <w:sz w:val="24"/>
                <w:szCs w:val="24"/>
              </w:rPr>
              <w:t xml:space="preserve">erinevaid </w:t>
            </w:r>
            <w:r w:rsidR="00D33FA6" w:rsidRPr="001A3513">
              <w:rPr>
                <w:rFonts w:ascii="Times New Roman" w:eastAsia="Calibri" w:hAnsi="Times New Roman" w:cs="Times New Roman"/>
                <w:sz w:val="24"/>
                <w:szCs w:val="24"/>
              </w:rPr>
              <w:t xml:space="preserve">stsenaariume, et pakkuda laiemat hinnangut võimalike tulevikustsenaariumide kohta. Kuigi eelnõu eesmärk on </w:t>
            </w:r>
            <w:r w:rsidR="00D33FA6" w:rsidRPr="001A3513">
              <w:rPr>
                <w:rFonts w:ascii="Times New Roman" w:eastAsia="Calibri" w:hAnsi="Times New Roman" w:cs="Times New Roman"/>
                <w:sz w:val="24"/>
                <w:szCs w:val="24"/>
              </w:rPr>
              <w:lastRenderedPageBreak/>
              <w:t xml:space="preserve">keskenduda Eesti taastuvenergia tootmisvõimsuste suurendamisele, ei välista see arvestamist välisühenduste kaudu imporditava ja eksporditava elektrienergia mõjuga. Need aspektid mängivad turul rolli, kuid seadusandlikud algatused keskenduvad peamiselt kohaliku tootmisvõimekuse arendamisele. Elektri hind sõltub mitmetest teguritest, sealhulgas pakkumise ja nõudluse dünaamikast ning tootmisprofiilist. Madalam hind teatud tuulistel tundidel on oodatav, kuid prognoosides võetakse tavaliselt arvesse keskmisi turuhindu ja taastuvenergia mehhanisme, mis aitavad hallata hindade kõikumist. Taastuvenergia tasu prognoosid on koostatud põhinedes laiemale energiaturu hinnangutele, ning arvestavad pikemas perspektiivis tootmiskulude langust ja turumehhanismide mõju. Kuigi teatud tundidel võivad tekkida madalamad hinnad, on need ajutised ja lõpptarbija jaoks ei pruugi need oluliselt elektrihinda tõsta, kuna </w:t>
            </w:r>
            <w:r w:rsidR="00D33FA6" w:rsidRPr="001A3513">
              <w:rPr>
                <w:rFonts w:ascii="Times New Roman" w:eastAsia="Calibri" w:hAnsi="Times New Roman" w:cs="Times New Roman"/>
                <w:sz w:val="24"/>
                <w:szCs w:val="24"/>
              </w:rPr>
              <w:lastRenderedPageBreak/>
              <w:t>tasakaalustavad mehhanismid hoiavad turu stabiilsena.</w:t>
            </w:r>
          </w:p>
          <w:p w14:paraId="261E99BB" w14:textId="77777777" w:rsidR="00C16BFE" w:rsidRPr="00797EDC" w:rsidRDefault="00C16BFE" w:rsidP="1FD60553">
            <w:pPr>
              <w:pStyle w:val="Loendilik"/>
              <w:ind w:left="-23"/>
              <w:jc w:val="both"/>
              <w:rPr>
                <w:rFonts w:ascii="Times New Roman" w:eastAsia="Calibri" w:hAnsi="Times New Roman" w:cs="Times New Roman"/>
                <w:sz w:val="24"/>
                <w:szCs w:val="24"/>
              </w:rPr>
            </w:pPr>
          </w:p>
        </w:tc>
      </w:tr>
      <w:tr w:rsidR="00C16BFE" w:rsidRPr="005C0F32" w14:paraId="08681BE2" w14:textId="77777777" w:rsidTr="3199B330">
        <w:trPr>
          <w:trHeight w:val="300"/>
        </w:trPr>
        <w:tc>
          <w:tcPr>
            <w:tcW w:w="10710" w:type="dxa"/>
          </w:tcPr>
          <w:p w14:paraId="2146574E" w14:textId="77777777" w:rsidR="0031109B" w:rsidRPr="005C0F32" w:rsidRDefault="000E6D75" w:rsidP="007F4F0D">
            <w:pPr>
              <w:rPr>
                <w:rFonts w:ascii="Times New Roman" w:hAnsi="Times New Roman" w:cs="Times New Roman"/>
                <w:sz w:val="24"/>
                <w:szCs w:val="24"/>
              </w:rPr>
            </w:pPr>
            <w:r w:rsidRPr="005C0F32">
              <w:rPr>
                <w:rFonts w:ascii="Times New Roman" w:hAnsi="Times New Roman" w:cs="Times New Roman"/>
                <w:sz w:val="24"/>
                <w:szCs w:val="24"/>
              </w:rPr>
              <w:lastRenderedPageBreak/>
              <w:t xml:space="preserve">2. Elektrituruseaduse ja energiamajanduse korralduse seaduse muutmise seaduse eelnõu seletuskirja punktis 7 toodud seaduse rakendamisega seotud riigi ja kohaliku omavalitsuse tegevus, eeldatavad kulud ja tulud. Elektritarbija makstava taastuvenergia tasu määra kujunemine. Arvestades tõenäolist tuulise ilmaga elektrienergia tootmise </w:t>
            </w:r>
            <w:proofErr w:type="spellStart"/>
            <w:r w:rsidRPr="005C0F32">
              <w:rPr>
                <w:rFonts w:ascii="Times New Roman" w:hAnsi="Times New Roman" w:cs="Times New Roman"/>
                <w:sz w:val="24"/>
                <w:szCs w:val="24"/>
              </w:rPr>
              <w:t>ülepakkumist</w:t>
            </w:r>
            <w:proofErr w:type="spellEnd"/>
            <w:r w:rsidRPr="005C0F32">
              <w:rPr>
                <w:rFonts w:ascii="Times New Roman" w:hAnsi="Times New Roman" w:cs="Times New Roman"/>
                <w:sz w:val="24"/>
                <w:szCs w:val="24"/>
              </w:rPr>
              <w:t xml:space="preserve"> ja tuuleparkide poolt teenitavat aasta keskmisest madalamat elektrihinda, tuleb taastuvenergia tasude prognoosimisel arvestada ka võimaliku toetuse maksimaalse väljamakse vajadusega. Vastavalt eelnõule on maismaa tuuleparkide toetatavaks toodanguks 4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aastas ja maksimaalseks toetusmääraks 20 €/MWh ning meretuuleparkidel toodanguks 2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aastas ja toetusmääraks 65 €/MWh. Eelnõus toodud meetmete elluviimisel saame lisaks juba täna makstavatele toetustele lisanduva toetuse maksimaalseks vajaduseks 210 mil €/a. Eesti sisemaise elektritarbimise püsimisel 8,2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aastas juures teeb see elektrienergia lõpptarbija taastuvenergia tasuks 25,6 €/MWh. Eelnõu mõju analüüsis ei ole sellega arvestatud. Seletuskirjas toodud mõju analüüsis kasutatud stsenaarium „RD“ ei vasta eelnõus planeeritavale maismaa ja meretuulepargi toodangu kogusele. Seletuskirja leheküljel 26 toodud elektrihinna graafikul ei ole ühtegi negatiivset elektri hinda samas kui näiteks Soome hinnapiirkonnas oli 2023. aastal 467 negatiivse hinnaga tundi. </w:t>
            </w:r>
          </w:p>
          <w:p w14:paraId="4439F3C5" w14:textId="77777777" w:rsidR="0031109B" w:rsidRPr="005C0F32" w:rsidRDefault="000E6D75" w:rsidP="007F4F0D">
            <w:pPr>
              <w:rPr>
                <w:rFonts w:ascii="Times New Roman" w:hAnsi="Times New Roman" w:cs="Times New Roman"/>
                <w:sz w:val="24"/>
                <w:szCs w:val="24"/>
              </w:rPr>
            </w:pPr>
            <w:r w:rsidRPr="005C0F32">
              <w:rPr>
                <w:rFonts w:ascii="Times New Roman" w:hAnsi="Times New Roman" w:cs="Times New Roman"/>
                <w:sz w:val="24"/>
                <w:szCs w:val="24"/>
              </w:rPr>
              <w:t xml:space="preserve">Lehekülg 27 toodud tabelis prognoositakse 2035. aastaks taastuvenergia tasusid kokku 200,6 mln €, mis tänase Eesti aastase 8,2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aastas tarbimismahu säilides teeb tarbija makstavaks taastuvenergia tasuks 24,5 €/MWh ehk 2,45 senti/kWh, mis on kaks korda kõrgem kui eelnõu seletuskirjas esitatud elektrihinna mõju analüüsis esitletud väärtus. </w:t>
            </w:r>
          </w:p>
          <w:p w14:paraId="7ABC92FC" w14:textId="243945DD" w:rsidR="00C16BFE" w:rsidRPr="005C0F32" w:rsidRDefault="000E6D75" w:rsidP="007F4F0D">
            <w:pPr>
              <w:rPr>
                <w:rFonts w:ascii="Times New Roman" w:hAnsi="Times New Roman" w:cs="Times New Roman"/>
                <w:b/>
                <w:bCs/>
                <w:sz w:val="24"/>
                <w:szCs w:val="24"/>
              </w:rPr>
            </w:pPr>
            <w:r w:rsidRPr="005C0F32">
              <w:rPr>
                <w:rFonts w:ascii="Times New Roman" w:hAnsi="Times New Roman" w:cs="Times New Roman"/>
                <w:sz w:val="24"/>
                <w:szCs w:val="24"/>
              </w:rPr>
              <w:t>Kokkuvõtteks on eelnõu seletuskirjas toodud lõpptarbija taastuvenergia tasu vähenemise lootus rajatud elektrienergia tarbimise hüppelisele kasvule. Seletuskirjas toodud kulude analüüsis eeldatakse 2035. aastaks tarbimise enam kui kahekordset kasvu, samas pole esitatud niivõrd kiiret kasvu eeldusi toetavaid argumente. Vastamata jääb küsimus, et miks peaks energiamahukad tööstusinvesteeringud tulema Eestisse, kus tuleb tarbijana lisaks elektri börsihinnale maksta märkimisväärset taastuvenergia tasu.</w:t>
            </w:r>
          </w:p>
        </w:tc>
        <w:tc>
          <w:tcPr>
            <w:tcW w:w="3282" w:type="dxa"/>
          </w:tcPr>
          <w:p w14:paraId="3A7285C1" w14:textId="2004AEC5" w:rsidR="00C16BFE" w:rsidRPr="00797EDC" w:rsidRDefault="00DA528D" w:rsidP="1FD60553">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Teadmiseks võetud</w:t>
            </w:r>
          </w:p>
          <w:p w14:paraId="7F31AAFF" w14:textId="77777777" w:rsidR="00DA528D" w:rsidRDefault="00DA528D" w:rsidP="001A3513">
            <w:pPr>
              <w:jc w:val="both"/>
              <w:rPr>
                <w:rFonts w:ascii="Times New Roman" w:eastAsia="Calibri" w:hAnsi="Times New Roman" w:cs="Times New Roman"/>
                <w:sz w:val="24"/>
                <w:szCs w:val="24"/>
              </w:rPr>
            </w:pPr>
          </w:p>
          <w:p w14:paraId="2F5FC728" w14:textId="7D219083" w:rsidR="008A7EDF" w:rsidRPr="001A3513" w:rsidRDefault="00DA528D" w:rsidP="001A3513">
            <w:pPr>
              <w:jc w:val="both"/>
              <w:rPr>
                <w:rFonts w:ascii="Times New Roman" w:eastAsia="Calibri" w:hAnsi="Times New Roman" w:cs="Times New Roman"/>
                <w:sz w:val="24"/>
                <w:szCs w:val="24"/>
              </w:rPr>
            </w:pPr>
            <w:r>
              <w:rPr>
                <w:rFonts w:ascii="Times New Roman" w:eastAsia="Calibri" w:hAnsi="Times New Roman" w:cs="Times New Roman"/>
                <w:sz w:val="24"/>
                <w:szCs w:val="24"/>
              </w:rPr>
              <w:t>Selgitame, et t</w:t>
            </w:r>
            <w:r w:rsidR="008A7EDF" w:rsidRPr="001A3513">
              <w:rPr>
                <w:rFonts w:ascii="Times New Roman" w:eastAsia="Calibri" w:hAnsi="Times New Roman" w:cs="Times New Roman"/>
                <w:sz w:val="24"/>
                <w:szCs w:val="24"/>
              </w:rPr>
              <w:t xml:space="preserve">oetust </w:t>
            </w:r>
            <w:r w:rsidR="00585A50" w:rsidRPr="001A3513">
              <w:rPr>
                <w:rFonts w:ascii="Times New Roman" w:eastAsia="Calibri" w:hAnsi="Times New Roman" w:cs="Times New Roman"/>
                <w:sz w:val="24"/>
                <w:szCs w:val="24"/>
              </w:rPr>
              <w:t xml:space="preserve">makstakse </w:t>
            </w:r>
            <w:r w:rsidR="008A7EDF" w:rsidRPr="001A3513">
              <w:rPr>
                <w:rFonts w:ascii="Times New Roman" w:eastAsia="Calibri" w:hAnsi="Times New Roman" w:cs="Times New Roman"/>
                <w:sz w:val="24"/>
                <w:szCs w:val="24"/>
              </w:rPr>
              <w:t>igal kauplemisperioodi</w:t>
            </w:r>
            <w:r w:rsidR="00585A50" w:rsidRPr="001A3513">
              <w:rPr>
                <w:rFonts w:ascii="Times New Roman" w:eastAsia="Calibri" w:hAnsi="Times New Roman" w:cs="Times New Roman"/>
                <w:sz w:val="24"/>
                <w:szCs w:val="24"/>
              </w:rPr>
              <w:t>l vastavalt pakkumises esitatud hinna ja turuhinna vahele</w:t>
            </w:r>
            <w:r w:rsidR="008A7EDF" w:rsidRPr="001A3513">
              <w:rPr>
                <w:rFonts w:ascii="Times New Roman" w:eastAsia="Calibri" w:hAnsi="Times New Roman" w:cs="Times New Roman"/>
                <w:sz w:val="24"/>
                <w:szCs w:val="24"/>
              </w:rPr>
              <w:t xml:space="preserve"> ning </w:t>
            </w:r>
            <w:r w:rsidR="006C5191" w:rsidRPr="001A3513">
              <w:rPr>
                <w:rFonts w:ascii="Times New Roman" w:eastAsia="Calibri" w:hAnsi="Times New Roman" w:cs="Times New Roman"/>
                <w:sz w:val="24"/>
                <w:szCs w:val="24"/>
              </w:rPr>
              <w:t>pakkumuse hinnast kõrgemate elektrihindade korral koguneb vahendeid taastuvenergia tasu fondi.</w:t>
            </w:r>
            <w:r w:rsidR="003C7E3F" w:rsidRPr="001A3513">
              <w:rPr>
                <w:rFonts w:ascii="Times New Roman" w:eastAsia="Calibri" w:hAnsi="Times New Roman" w:cs="Times New Roman"/>
                <w:sz w:val="24"/>
                <w:szCs w:val="24"/>
              </w:rPr>
              <w:t xml:space="preserve"> Euroopa Liidu elektrituru korralduse raamistik keelab toetuse maksmise negatiivsete elektrihindade korral ning </w:t>
            </w:r>
            <w:r w:rsidR="003B0748" w:rsidRPr="001A3513">
              <w:rPr>
                <w:rFonts w:ascii="Times New Roman" w:eastAsia="Calibri" w:hAnsi="Times New Roman" w:cs="Times New Roman"/>
                <w:sz w:val="24"/>
                <w:szCs w:val="24"/>
              </w:rPr>
              <w:t xml:space="preserve">meie hinnangul ei ole </w:t>
            </w:r>
            <w:r w:rsidR="00977C2E" w:rsidRPr="001A3513">
              <w:rPr>
                <w:rFonts w:ascii="Times New Roman" w:eastAsia="Calibri" w:hAnsi="Times New Roman" w:cs="Times New Roman"/>
                <w:sz w:val="24"/>
                <w:szCs w:val="24"/>
              </w:rPr>
              <w:t>ka tootjatele kasulik negatiivsete hindade korral oma toodangut turul pakkuda.</w:t>
            </w:r>
            <w:r w:rsidR="00E45AF0" w:rsidRPr="001A3513">
              <w:rPr>
                <w:rFonts w:ascii="Times New Roman" w:eastAsia="Calibri" w:hAnsi="Times New Roman" w:cs="Times New Roman"/>
                <w:sz w:val="24"/>
                <w:szCs w:val="24"/>
              </w:rPr>
              <w:t xml:space="preserve"> </w:t>
            </w:r>
            <w:proofErr w:type="spellStart"/>
            <w:r w:rsidR="003F0430" w:rsidRPr="001A3513">
              <w:rPr>
                <w:rFonts w:ascii="Times New Roman" w:eastAsia="Calibri" w:hAnsi="Times New Roman" w:cs="Times New Roman"/>
                <w:sz w:val="24"/>
                <w:szCs w:val="24"/>
              </w:rPr>
              <w:t>Elektr</w:t>
            </w:r>
            <w:r w:rsidR="00DD4288" w:rsidRPr="001A3513">
              <w:rPr>
                <w:rFonts w:ascii="Times New Roman" w:eastAsia="Calibri" w:hAnsi="Times New Roman" w:cs="Times New Roman"/>
                <w:sz w:val="24"/>
                <w:szCs w:val="24"/>
              </w:rPr>
              <w:t>ointensiivsed</w:t>
            </w:r>
            <w:proofErr w:type="spellEnd"/>
            <w:r w:rsidR="00DD4288" w:rsidRPr="001A3513">
              <w:rPr>
                <w:rFonts w:ascii="Times New Roman" w:eastAsia="Calibri" w:hAnsi="Times New Roman" w:cs="Times New Roman"/>
                <w:sz w:val="24"/>
                <w:szCs w:val="24"/>
              </w:rPr>
              <w:t xml:space="preserve"> tööstused ei investeeriks Eestisse ilma kindluseta, et Eestis </w:t>
            </w:r>
            <w:r w:rsidR="00996297" w:rsidRPr="001A3513">
              <w:rPr>
                <w:rFonts w:ascii="Times New Roman" w:eastAsia="Calibri" w:hAnsi="Times New Roman" w:cs="Times New Roman"/>
                <w:sz w:val="24"/>
                <w:szCs w:val="24"/>
              </w:rPr>
              <w:t xml:space="preserve">oleks kättesaadav </w:t>
            </w:r>
            <w:r w:rsidR="00DD4288" w:rsidRPr="001A3513">
              <w:rPr>
                <w:rFonts w:ascii="Times New Roman" w:eastAsia="Calibri" w:hAnsi="Times New Roman" w:cs="Times New Roman"/>
                <w:sz w:val="24"/>
                <w:szCs w:val="24"/>
              </w:rPr>
              <w:t xml:space="preserve">vajalikus mahus </w:t>
            </w:r>
          </w:p>
        </w:tc>
      </w:tr>
      <w:tr w:rsidR="00C16BFE" w:rsidRPr="005C0F32" w14:paraId="015E5550" w14:textId="77777777" w:rsidTr="3199B330">
        <w:trPr>
          <w:trHeight w:val="300"/>
        </w:trPr>
        <w:tc>
          <w:tcPr>
            <w:tcW w:w="10710" w:type="dxa"/>
          </w:tcPr>
          <w:p w14:paraId="1A4CAD73" w14:textId="03A17B98" w:rsidR="000E6D75" w:rsidRPr="005C0F32" w:rsidRDefault="000E6D75" w:rsidP="007F4F0D">
            <w:pPr>
              <w:rPr>
                <w:rFonts w:ascii="Times New Roman" w:hAnsi="Times New Roman" w:cs="Times New Roman"/>
                <w:sz w:val="24"/>
                <w:szCs w:val="24"/>
              </w:rPr>
            </w:pPr>
            <w:r w:rsidRPr="005C0F32">
              <w:rPr>
                <w:rFonts w:ascii="Times New Roman" w:hAnsi="Times New Roman" w:cs="Times New Roman"/>
                <w:sz w:val="24"/>
                <w:szCs w:val="24"/>
              </w:rPr>
              <w:t>3. Ettepanekud:</w:t>
            </w:r>
            <w:r w:rsidR="00F962FE">
              <w:rPr>
                <w:rFonts w:ascii="Times New Roman" w:hAnsi="Times New Roman" w:cs="Times New Roman"/>
                <w:sz w:val="24"/>
                <w:szCs w:val="24"/>
              </w:rPr>
              <w:t xml:space="preserve"> </w:t>
            </w:r>
          </w:p>
          <w:p w14:paraId="2EB8E826" w14:textId="77777777" w:rsidR="000E6D75" w:rsidRPr="005C0F32" w:rsidRDefault="000E6D75" w:rsidP="007F4F0D">
            <w:pPr>
              <w:rPr>
                <w:rFonts w:ascii="Times New Roman" w:hAnsi="Times New Roman" w:cs="Times New Roman"/>
                <w:sz w:val="24"/>
                <w:szCs w:val="24"/>
              </w:rPr>
            </w:pPr>
            <w:r w:rsidRPr="005C0F32">
              <w:rPr>
                <w:rFonts w:ascii="Times New Roman" w:hAnsi="Times New Roman" w:cs="Times New Roman"/>
                <w:sz w:val="24"/>
                <w:szCs w:val="24"/>
              </w:rPr>
              <w:t xml:space="preserve"> Taastuvenergia eesmärkide seadmisel ja toetusmeetmete kavandamisel tuleb eesmärgiks seada Eesti majanduskeskkonna konkurentsivõime suurendamine. Eelnõuga kavandatav tuuleenergia võimsuste suurendamine Eesti tarbijate makstava taastuvenergia tasu toel suurendab Eesti lõpptarbijate elektrihinda võrreldes meie naaberriikidega. Eelnõu seletuskirjas on vale võtta kavandatavate meetmete mõju analüüsis võrdlusbaasiks 2023. aasta lõpptarbija elektrihind. 2023. aasta Eesti elektri börsihind ei olnud konkurentsivõimeline, aasta keskmisena oli Eesti elektri börsihind 90,8 €/MWh, Soomes 56,5 €/MWh ja Rootsi hinnapiirkondades SE3 ja SE4 39,9 €/MWh. Üle 4 miljardi </w:t>
            </w:r>
            <w:proofErr w:type="spellStart"/>
            <w:r w:rsidRPr="005C0F32">
              <w:rPr>
                <w:rFonts w:ascii="Times New Roman" w:hAnsi="Times New Roman" w:cs="Times New Roman"/>
                <w:sz w:val="24"/>
                <w:szCs w:val="24"/>
              </w:rPr>
              <w:t>eurone</w:t>
            </w:r>
            <w:proofErr w:type="spellEnd"/>
            <w:r w:rsidRPr="005C0F32">
              <w:rPr>
                <w:rFonts w:ascii="Times New Roman" w:hAnsi="Times New Roman" w:cs="Times New Roman"/>
                <w:sz w:val="24"/>
                <w:szCs w:val="24"/>
              </w:rPr>
              <w:t xml:space="preserve">, riiklike toetustega, suuremahuline taastuvenergia investeerimisprogramm peab meile tagama energiamahukate tööstusinvesteeringute tegemiseks piirkondliku konkurentsieelise. Lisanduv 6 </w:t>
            </w:r>
            <w:proofErr w:type="spellStart"/>
            <w:r w:rsidRPr="005C0F32">
              <w:rPr>
                <w:rFonts w:ascii="Times New Roman" w:hAnsi="Times New Roman" w:cs="Times New Roman"/>
                <w:sz w:val="24"/>
                <w:szCs w:val="24"/>
              </w:rPr>
              <w:t>TWh</w:t>
            </w:r>
            <w:proofErr w:type="spellEnd"/>
            <w:r w:rsidRPr="005C0F32">
              <w:rPr>
                <w:rFonts w:ascii="Times New Roman" w:hAnsi="Times New Roman" w:cs="Times New Roman"/>
                <w:sz w:val="24"/>
                <w:szCs w:val="24"/>
              </w:rPr>
              <w:t xml:space="preserve"> aastas tuuleenergia viib tuulistel ajaperioodidel </w:t>
            </w:r>
            <w:r w:rsidRPr="005C0F32">
              <w:rPr>
                <w:rFonts w:ascii="Times New Roman" w:hAnsi="Times New Roman" w:cs="Times New Roman"/>
                <w:sz w:val="24"/>
                <w:szCs w:val="24"/>
              </w:rPr>
              <w:lastRenderedPageBreak/>
              <w:t xml:space="preserve">elektri börsihinna alla kogu Baltikumis. Eesti tarbijatele jääb kohustus maksta eeltoodud investeeringute toetuseks taastuvenergia tasu, fikseeritud liitumistasu, sagedusreservi ja võimsusmehhanismi tasu. Tulenevalt eeltoodud tasudest Eesti majanduse konkurentsivõime võrreldes naaberriikidega väheneb. Eestil on oht kujuneda Baltikumi taastuvenergia pakkumise finantseerijaks ilma, et see annaks meile majandusliku konkurentsieelise. Miljarditesse eurodesse ulatuvate toetusmeetmete planeerimine ja kehtestamine eeldab põhjalikumat analüüsi kui käesoleva eelnõu seletuskirjas toodu. Teeme ettepaneku koostada eelnõule põhjalik mõjuanalüüs. </w:t>
            </w:r>
          </w:p>
          <w:p w14:paraId="7928B312" w14:textId="77777777" w:rsidR="000E6D75" w:rsidRPr="005C0F32" w:rsidRDefault="000E6D75" w:rsidP="007F4F0D">
            <w:pPr>
              <w:rPr>
                <w:rFonts w:ascii="Times New Roman" w:hAnsi="Times New Roman" w:cs="Times New Roman"/>
                <w:sz w:val="24"/>
                <w:szCs w:val="24"/>
              </w:rPr>
            </w:pPr>
            <w:r w:rsidRPr="005C0F32">
              <w:rPr>
                <w:rFonts w:ascii="Times New Roman" w:hAnsi="Times New Roman" w:cs="Times New Roman"/>
                <w:sz w:val="24"/>
                <w:szCs w:val="24"/>
              </w:rPr>
              <w:t xml:space="preserve">Mõjuanalüüs peab välja tooma: </w:t>
            </w:r>
          </w:p>
          <w:p w14:paraId="7E1CA313" w14:textId="77777777" w:rsidR="000E6D75" w:rsidRPr="005C0F32" w:rsidRDefault="000E6D75" w:rsidP="007F4F0D">
            <w:pPr>
              <w:rPr>
                <w:rFonts w:ascii="Times New Roman" w:hAnsi="Times New Roman" w:cs="Times New Roman"/>
                <w:sz w:val="24"/>
                <w:szCs w:val="24"/>
              </w:rPr>
            </w:pPr>
            <w:r w:rsidRPr="005C0F32">
              <w:rPr>
                <w:rFonts w:ascii="Symbol" w:eastAsia="Symbol" w:hAnsi="Symbol" w:cs="Symbol"/>
                <w:sz w:val="24"/>
                <w:szCs w:val="24"/>
              </w:rPr>
              <w:t>·</w:t>
            </w:r>
            <w:r w:rsidRPr="005C0F32">
              <w:rPr>
                <w:rFonts w:ascii="Times New Roman" w:hAnsi="Times New Roman" w:cs="Times New Roman"/>
                <w:sz w:val="24"/>
                <w:szCs w:val="24"/>
              </w:rPr>
              <w:t xml:space="preserve"> Milliseks kujuneb kavandatavate toetusmeetmega lisanduvate tuuleparkide teenitav elektri hind arvestades Baltikumis juba ehitatavate võimsuste lisandumist 2025.-2026. aastal? Palju on prognoositavaid negatiivse börsihinnaga tunde? </w:t>
            </w:r>
          </w:p>
          <w:p w14:paraId="10124B2D" w14:textId="77777777" w:rsidR="000E6D75" w:rsidRPr="005C0F32" w:rsidRDefault="000E6D75" w:rsidP="007F4F0D">
            <w:pPr>
              <w:rPr>
                <w:rFonts w:ascii="Times New Roman" w:hAnsi="Times New Roman" w:cs="Times New Roman"/>
                <w:sz w:val="24"/>
                <w:szCs w:val="24"/>
              </w:rPr>
            </w:pPr>
            <w:r w:rsidRPr="005C0F32">
              <w:rPr>
                <w:rFonts w:ascii="Symbol" w:eastAsia="Symbol" w:hAnsi="Symbol" w:cs="Symbol"/>
                <w:sz w:val="24"/>
                <w:szCs w:val="24"/>
              </w:rPr>
              <w:t>·</w:t>
            </w:r>
            <w:r w:rsidRPr="005C0F32">
              <w:rPr>
                <w:rFonts w:ascii="Times New Roman" w:hAnsi="Times New Roman" w:cs="Times New Roman"/>
                <w:sz w:val="24"/>
                <w:szCs w:val="24"/>
              </w:rPr>
              <w:t xml:space="preserve"> Milliseks kujuneb riiklike taastuvenergia toetuste vajadus? </w:t>
            </w:r>
          </w:p>
          <w:p w14:paraId="6A876BC2" w14:textId="77777777" w:rsidR="000E6D75" w:rsidRPr="005C0F32" w:rsidRDefault="000E6D75" w:rsidP="007F4F0D">
            <w:pPr>
              <w:rPr>
                <w:rFonts w:ascii="Times New Roman" w:hAnsi="Times New Roman" w:cs="Times New Roman"/>
                <w:sz w:val="24"/>
                <w:szCs w:val="24"/>
              </w:rPr>
            </w:pPr>
            <w:r w:rsidRPr="005C0F32">
              <w:rPr>
                <w:rFonts w:ascii="Symbol" w:eastAsia="Symbol" w:hAnsi="Symbol" w:cs="Symbol"/>
                <w:sz w:val="24"/>
                <w:szCs w:val="24"/>
              </w:rPr>
              <w:t>·</w:t>
            </w:r>
            <w:r w:rsidRPr="005C0F32">
              <w:rPr>
                <w:rFonts w:ascii="Times New Roman" w:hAnsi="Times New Roman" w:cs="Times New Roman"/>
                <w:sz w:val="24"/>
                <w:szCs w:val="24"/>
              </w:rPr>
              <w:t xml:space="preserve"> Milliseks kujuneb lõpptarbija vaates Eesti elektrituru konkurentsivõime võrreldes meie naaberriikidega? </w:t>
            </w:r>
          </w:p>
          <w:p w14:paraId="2D55D02E" w14:textId="28DABCBD" w:rsidR="00C16BFE" w:rsidRPr="005C0F32" w:rsidRDefault="000E6D75" w:rsidP="007F4F0D">
            <w:pPr>
              <w:rPr>
                <w:rFonts w:ascii="Times New Roman" w:hAnsi="Times New Roman" w:cs="Times New Roman"/>
                <w:b/>
                <w:bCs/>
                <w:sz w:val="24"/>
                <w:szCs w:val="24"/>
              </w:rPr>
            </w:pPr>
            <w:r w:rsidRPr="005C0F32">
              <w:rPr>
                <w:rFonts w:ascii="Symbol" w:eastAsia="Symbol" w:hAnsi="Symbol" w:cs="Symbol"/>
                <w:sz w:val="24"/>
                <w:szCs w:val="24"/>
              </w:rPr>
              <w:t>·</w:t>
            </w:r>
            <w:r w:rsidRPr="005C0F32">
              <w:rPr>
                <w:rFonts w:ascii="Times New Roman" w:hAnsi="Times New Roman" w:cs="Times New Roman"/>
                <w:sz w:val="24"/>
                <w:szCs w:val="24"/>
              </w:rPr>
              <w:t xml:space="preserve"> Milline on võimalike uute suurtarbijatest tööstusinvesteeringute elektrienergia tarbimisprofiil ja elektrihinna ootus?</w:t>
            </w:r>
          </w:p>
        </w:tc>
        <w:tc>
          <w:tcPr>
            <w:tcW w:w="3282" w:type="dxa"/>
          </w:tcPr>
          <w:p w14:paraId="21E7C5CB" w14:textId="2B3C4876" w:rsidR="00C16BFE" w:rsidRPr="00797EDC" w:rsidRDefault="005F64C3"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A</w:t>
            </w:r>
            <w:r w:rsidR="00501DF1" w:rsidRPr="00797EDC">
              <w:rPr>
                <w:rFonts w:ascii="Times New Roman" w:eastAsia="Calibri" w:hAnsi="Times New Roman" w:cs="Times New Roman"/>
                <w:b/>
                <w:bCs/>
                <w:sz w:val="24"/>
                <w:szCs w:val="24"/>
              </w:rPr>
              <w:t>rvestatud</w:t>
            </w:r>
            <w:r w:rsidRPr="00797EDC">
              <w:rPr>
                <w:rFonts w:ascii="Times New Roman" w:eastAsia="Calibri" w:hAnsi="Times New Roman" w:cs="Times New Roman"/>
                <w:b/>
                <w:bCs/>
                <w:sz w:val="24"/>
                <w:szCs w:val="24"/>
              </w:rPr>
              <w:t xml:space="preserve"> osaliselt</w:t>
            </w:r>
          </w:p>
          <w:p w14:paraId="5020475B" w14:textId="44734411" w:rsidR="00501DF1" w:rsidRPr="001A3513" w:rsidRDefault="005F64C3" w:rsidP="001A3513">
            <w:pPr>
              <w:jc w:val="both"/>
              <w:rPr>
                <w:rFonts w:ascii="Times New Roman" w:eastAsia="Calibri" w:hAnsi="Times New Roman" w:cs="Times New Roman"/>
                <w:sz w:val="24"/>
                <w:szCs w:val="24"/>
              </w:rPr>
            </w:pPr>
            <w:r w:rsidRPr="001A3513">
              <w:rPr>
                <w:rFonts w:ascii="Times New Roman" w:eastAsia="Calibri" w:hAnsi="Times New Roman" w:cs="Times New Roman"/>
                <w:sz w:val="24"/>
                <w:szCs w:val="24"/>
              </w:rPr>
              <w:t>Seletuskirja mõjuanalüüsi on</w:t>
            </w:r>
            <w:r w:rsidR="000A6A32">
              <w:rPr>
                <w:rFonts w:ascii="Times New Roman" w:eastAsia="Calibri" w:hAnsi="Times New Roman" w:cs="Times New Roman"/>
                <w:sz w:val="24"/>
                <w:szCs w:val="24"/>
              </w:rPr>
              <w:t xml:space="preserve"> </w:t>
            </w:r>
            <w:r w:rsidR="00DA528D">
              <w:rPr>
                <w:rFonts w:ascii="Times New Roman" w:eastAsia="Calibri" w:hAnsi="Times New Roman" w:cs="Times New Roman"/>
                <w:sz w:val="24"/>
                <w:szCs w:val="24"/>
              </w:rPr>
              <w:t>täiendatud</w:t>
            </w:r>
            <w:r w:rsidR="001249F3" w:rsidRPr="001A3513">
              <w:rPr>
                <w:rFonts w:ascii="Times New Roman" w:eastAsia="Calibri" w:hAnsi="Times New Roman" w:cs="Times New Roman"/>
                <w:sz w:val="24"/>
                <w:szCs w:val="24"/>
              </w:rPr>
              <w:t>.</w:t>
            </w:r>
          </w:p>
        </w:tc>
      </w:tr>
      <w:tr w:rsidR="00C16BFE" w:rsidRPr="005C0F32" w14:paraId="61802356" w14:textId="77777777" w:rsidTr="3199B330">
        <w:trPr>
          <w:trHeight w:val="300"/>
        </w:trPr>
        <w:tc>
          <w:tcPr>
            <w:tcW w:w="10710" w:type="dxa"/>
          </w:tcPr>
          <w:p w14:paraId="5E1E72E3" w14:textId="35167A06" w:rsidR="00C16BFE" w:rsidRPr="005C0F32" w:rsidRDefault="003620C4" w:rsidP="007F4F0D">
            <w:pPr>
              <w:rPr>
                <w:rFonts w:ascii="Times New Roman" w:hAnsi="Times New Roman" w:cs="Times New Roman"/>
                <w:b/>
                <w:bCs/>
                <w:sz w:val="24"/>
                <w:szCs w:val="24"/>
              </w:rPr>
            </w:pPr>
            <w:r w:rsidRPr="00A14E36">
              <w:rPr>
                <w:rFonts w:ascii="Times New Roman" w:hAnsi="Times New Roman" w:cs="Times New Roman"/>
                <w:b/>
                <w:bCs/>
                <w:sz w:val="24"/>
                <w:szCs w:val="24"/>
                <w:highlight w:val="cyan"/>
              </w:rPr>
              <w:t>VINDR BALTIC</w:t>
            </w:r>
          </w:p>
        </w:tc>
        <w:tc>
          <w:tcPr>
            <w:tcW w:w="3282" w:type="dxa"/>
          </w:tcPr>
          <w:p w14:paraId="512A5EB5" w14:textId="77777777" w:rsidR="00C16BFE" w:rsidRPr="00797EDC" w:rsidRDefault="00C16BFE" w:rsidP="1FD60553">
            <w:pPr>
              <w:pStyle w:val="Loendilik"/>
              <w:ind w:left="-23"/>
              <w:jc w:val="both"/>
              <w:rPr>
                <w:rFonts w:ascii="Times New Roman" w:eastAsia="Calibri" w:hAnsi="Times New Roman" w:cs="Times New Roman"/>
                <w:b/>
                <w:bCs/>
                <w:sz w:val="24"/>
                <w:szCs w:val="24"/>
              </w:rPr>
            </w:pPr>
          </w:p>
        </w:tc>
      </w:tr>
      <w:tr w:rsidR="00F252CF" w:rsidRPr="005C0F32" w14:paraId="5F755EA6" w14:textId="77777777" w:rsidTr="3199B330">
        <w:trPr>
          <w:trHeight w:val="300"/>
        </w:trPr>
        <w:tc>
          <w:tcPr>
            <w:tcW w:w="10710" w:type="dxa"/>
          </w:tcPr>
          <w:p w14:paraId="5200CCC2" w14:textId="744B121A" w:rsidR="00F252CF" w:rsidRPr="005C0F32" w:rsidRDefault="009D0A70" w:rsidP="00E37C5A">
            <w:pPr>
              <w:jc w:val="both"/>
              <w:rPr>
                <w:rFonts w:ascii="Times New Roman" w:hAnsi="Times New Roman" w:cs="Times New Roman"/>
                <w:b/>
                <w:bCs/>
                <w:sz w:val="24"/>
                <w:szCs w:val="24"/>
              </w:rPr>
            </w:pPr>
            <w:r w:rsidRPr="009D0A70">
              <w:rPr>
                <w:rFonts w:ascii="Times New Roman" w:hAnsi="Times New Roman" w:cs="Times New Roman"/>
                <w:b/>
                <w:bCs/>
                <w:sz w:val="24"/>
                <w:szCs w:val="24"/>
              </w:rPr>
              <w:t>Kokkuvõttev kommentaar: olukorras, kus Eesti riigieelarve on läbi aegade suurimas defitsiidis, Eesti</w:t>
            </w:r>
            <w:r w:rsidR="00E37C5A">
              <w:rPr>
                <w:rFonts w:ascii="Times New Roman" w:hAnsi="Times New Roman" w:cs="Times New Roman"/>
                <w:b/>
                <w:bCs/>
                <w:sz w:val="24"/>
                <w:szCs w:val="24"/>
              </w:rPr>
              <w:t xml:space="preserve"> </w:t>
            </w:r>
            <w:r w:rsidRPr="009D0A70">
              <w:rPr>
                <w:rFonts w:ascii="Times New Roman" w:hAnsi="Times New Roman" w:cs="Times New Roman"/>
                <w:b/>
                <w:bCs/>
                <w:sz w:val="24"/>
                <w:szCs w:val="24"/>
              </w:rPr>
              <w:t xml:space="preserve">elektrihinnad (tootjale) on Euroopa ühed kõrgeimad, Eestis on juba läbi viidud kaks </w:t>
            </w:r>
            <w:proofErr w:type="spellStart"/>
            <w:r w:rsidRPr="009D0A70">
              <w:rPr>
                <w:rFonts w:ascii="Times New Roman" w:hAnsi="Times New Roman" w:cs="Times New Roman"/>
                <w:b/>
                <w:bCs/>
                <w:sz w:val="24"/>
                <w:szCs w:val="24"/>
              </w:rPr>
              <w:t>CfD</w:t>
            </w:r>
            <w:proofErr w:type="spellEnd"/>
            <w:r w:rsidRPr="009D0A70">
              <w:rPr>
                <w:rFonts w:ascii="Times New Roman" w:hAnsi="Times New Roman" w:cs="Times New Roman"/>
                <w:b/>
                <w:bCs/>
                <w:sz w:val="24"/>
                <w:szCs w:val="24"/>
              </w:rPr>
              <w:t xml:space="preserve"> oksjonit,</w:t>
            </w:r>
            <w:r w:rsidR="00E37C5A">
              <w:rPr>
                <w:rFonts w:ascii="Times New Roman" w:hAnsi="Times New Roman" w:cs="Times New Roman"/>
                <w:b/>
                <w:bCs/>
                <w:sz w:val="24"/>
                <w:szCs w:val="24"/>
              </w:rPr>
              <w:t xml:space="preserve"> </w:t>
            </w:r>
            <w:r w:rsidRPr="009D0A70">
              <w:rPr>
                <w:rFonts w:ascii="Times New Roman" w:hAnsi="Times New Roman" w:cs="Times New Roman"/>
                <w:b/>
                <w:bCs/>
                <w:sz w:val="24"/>
                <w:szCs w:val="24"/>
              </w:rPr>
              <w:t>mille võitjad alles jõuavad oma toodanguga turule, ning meie naaberriigid ei kavanda rahalisi toetusi</w:t>
            </w:r>
            <w:r w:rsidR="00E37C5A">
              <w:rPr>
                <w:rFonts w:ascii="Times New Roman" w:hAnsi="Times New Roman" w:cs="Times New Roman"/>
                <w:b/>
                <w:bCs/>
                <w:sz w:val="24"/>
                <w:szCs w:val="24"/>
              </w:rPr>
              <w:t xml:space="preserve"> </w:t>
            </w:r>
            <w:r w:rsidRPr="009D0A70">
              <w:rPr>
                <w:rFonts w:ascii="Times New Roman" w:hAnsi="Times New Roman" w:cs="Times New Roman"/>
                <w:b/>
                <w:bCs/>
                <w:sz w:val="24"/>
                <w:szCs w:val="24"/>
              </w:rPr>
              <w:t xml:space="preserve">taastuvenergiavõimsuste rajamiseks, on ilma täiendavate mõjuanalüüsideta </w:t>
            </w:r>
            <w:proofErr w:type="spellStart"/>
            <w:r w:rsidRPr="009D0A70">
              <w:rPr>
                <w:rFonts w:ascii="Times New Roman" w:hAnsi="Times New Roman" w:cs="Times New Roman"/>
                <w:b/>
                <w:bCs/>
                <w:sz w:val="24"/>
                <w:szCs w:val="24"/>
              </w:rPr>
              <w:t>CfD</w:t>
            </w:r>
            <w:proofErr w:type="spellEnd"/>
            <w:r w:rsidRPr="009D0A70">
              <w:rPr>
                <w:rFonts w:ascii="Times New Roman" w:hAnsi="Times New Roman" w:cs="Times New Roman"/>
                <w:b/>
                <w:bCs/>
                <w:sz w:val="24"/>
                <w:szCs w:val="24"/>
              </w:rPr>
              <w:t xml:space="preserve"> mehhanismide nii</w:t>
            </w:r>
            <w:r w:rsidR="00E37C5A">
              <w:rPr>
                <w:rFonts w:ascii="Times New Roman" w:hAnsi="Times New Roman" w:cs="Times New Roman"/>
                <w:b/>
                <w:bCs/>
                <w:sz w:val="24"/>
                <w:szCs w:val="24"/>
              </w:rPr>
              <w:t xml:space="preserve"> </w:t>
            </w:r>
            <w:r w:rsidRPr="009D0A70">
              <w:rPr>
                <w:rFonts w:ascii="Times New Roman" w:hAnsi="Times New Roman" w:cs="Times New Roman"/>
                <w:b/>
                <w:bCs/>
                <w:sz w:val="24"/>
                <w:szCs w:val="24"/>
              </w:rPr>
              <w:t>merele kui maismaale kavandamine ennatlik ning ohtlik vabaturumajandusele nii elektritootjate kui</w:t>
            </w:r>
            <w:r w:rsidR="00490D51">
              <w:rPr>
                <w:rFonts w:ascii="Times New Roman" w:hAnsi="Times New Roman" w:cs="Times New Roman"/>
                <w:b/>
                <w:bCs/>
                <w:sz w:val="24"/>
                <w:szCs w:val="24"/>
              </w:rPr>
              <w:t xml:space="preserve"> </w:t>
            </w:r>
            <w:r w:rsidRPr="009D0A70">
              <w:rPr>
                <w:rFonts w:ascii="Times New Roman" w:hAnsi="Times New Roman" w:cs="Times New Roman"/>
                <w:b/>
                <w:bCs/>
                <w:sz w:val="24"/>
                <w:szCs w:val="24"/>
              </w:rPr>
              <w:t>tarbijate vaatest.</w:t>
            </w:r>
          </w:p>
        </w:tc>
        <w:tc>
          <w:tcPr>
            <w:tcW w:w="3282" w:type="dxa"/>
          </w:tcPr>
          <w:p w14:paraId="5AB54140" w14:textId="457D3A99" w:rsidR="00CB00F4" w:rsidRPr="00797EDC" w:rsidRDefault="00CB00F4" w:rsidP="003B7D0C">
            <w:pPr>
              <w:jc w:val="both"/>
              <w:rPr>
                <w:rFonts w:ascii="Times New Roman" w:eastAsia="Calibri" w:hAnsi="Times New Roman" w:cs="Times New Roman"/>
                <w:b/>
                <w:bCs/>
                <w:sz w:val="24"/>
                <w:szCs w:val="24"/>
              </w:rPr>
            </w:pPr>
          </w:p>
          <w:p w14:paraId="03BC076C" w14:textId="6E60F1FF" w:rsidR="00F252CF" w:rsidRPr="00797EDC" w:rsidRDefault="00F252CF" w:rsidP="1FD60553">
            <w:pPr>
              <w:pStyle w:val="Loendilik"/>
              <w:ind w:left="-23"/>
              <w:jc w:val="both"/>
              <w:rPr>
                <w:rFonts w:ascii="Times New Roman" w:eastAsia="Calibri" w:hAnsi="Times New Roman" w:cs="Times New Roman"/>
                <w:b/>
                <w:bCs/>
                <w:sz w:val="24"/>
                <w:szCs w:val="24"/>
              </w:rPr>
            </w:pPr>
          </w:p>
        </w:tc>
      </w:tr>
      <w:tr w:rsidR="00E37C5A" w:rsidRPr="005C0F32" w14:paraId="05CFC124" w14:textId="77777777" w:rsidTr="3199B330">
        <w:trPr>
          <w:trHeight w:val="300"/>
        </w:trPr>
        <w:tc>
          <w:tcPr>
            <w:tcW w:w="10710" w:type="dxa"/>
          </w:tcPr>
          <w:p w14:paraId="572A53CC" w14:textId="77777777" w:rsidR="006D6C6F" w:rsidRPr="006D6C6F" w:rsidRDefault="006D6C6F" w:rsidP="006D6C6F">
            <w:pPr>
              <w:jc w:val="both"/>
              <w:rPr>
                <w:rFonts w:ascii="Times New Roman" w:hAnsi="Times New Roman" w:cs="Times New Roman"/>
                <w:sz w:val="24"/>
                <w:szCs w:val="24"/>
              </w:rPr>
            </w:pPr>
            <w:r w:rsidRPr="006D6C6F">
              <w:rPr>
                <w:rFonts w:ascii="Times New Roman" w:hAnsi="Times New Roman" w:cs="Times New Roman"/>
                <w:sz w:val="24"/>
                <w:szCs w:val="24"/>
              </w:rPr>
              <w:t xml:space="preserve">Kuigi teame, et </w:t>
            </w:r>
            <w:proofErr w:type="spellStart"/>
            <w:r w:rsidRPr="006D6C6F">
              <w:rPr>
                <w:rFonts w:ascii="Times New Roman" w:hAnsi="Times New Roman" w:cs="Times New Roman"/>
                <w:sz w:val="24"/>
                <w:szCs w:val="24"/>
              </w:rPr>
              <w:t>KliM</w:t>
            </w:r>
            <w:proofErr w:type="spellEnd"/>
            <w:r w:rsidRPr="006D6C6F">
              <w:rPr>
                <w:rFonts w:ascii="Times New Roman" w:hAnsi="Times New Roman" w:cs="Times New Roman"/>
                <w:sz w:val="24"/>
                <w:szCs w:val="24"/>
              </w:rPr>
              <w:t xml:space="preserve"> energeetikaosakonnas töötavad mitmed head spetsialistid ning eelnõu</w:t>
            </w:r>
          </w:p>
          <w:p w14:paraId="0DDD8C95" w14:textId="77777777" w:rsidR="006D6C6F" w:rsidRPr="006D6C6F" w:rsidRDefault="006D6C6F" w:rsidP="006D6C6F">
            <w:pPr>
              <w:jc w:val="both"/>
              <w:rPr>
                <w:rFonts w:ascii="Times New Roman" w:hAnsi="Times New Roman" w:cs="Times New Roman"/>
                <w:sz w:val="24"/>
                <w:szCs w:val="24"/>
              </w:rPr>
            </w:pPr>
            <w:r w:rsidRPr="006D6C6F">
              <w:rPr>
                <w:rFonts w:ascii="Times New Roman" w:hAnsi="Times New Roman" w:cs="Times New Roman"/>
                <w:sz w:val="24"/>
                <w:szCs w:val="24"/>
              </w:rPr>
              <w:t xml:space="preserve">seletuskirjas on viidatud modelleerimisele </w:t>
            </w:r>
            <w:proofErr w:type="spellStart"/>
            <w:r w:rsidRPr="006D6C6F">
              <w:rPr>
                <w:rFonts w:ascii="Times New Roman" w:hAnsi="Times New Roman" w:cs="Times New Roman"/>
                <w:sz w:val="24"/>
                <w:szCs w:val="24"/>
              </w:rPr>
              <w:t>Balmorel</w:t>
            </w:r>
            <w:proofErr w:type="spellEnd"/>
            <w:r w:rsidRPr="006D6C6F">
              <w:rPr>
                <w:rFonts w:ascii="Times New Roman" w:hAnsi="Times New Roman" w:cs="Times New Roman"/>
                <w:sz w:val="24"/>
                <w:szCs w:val="24"/>
              </w:rPr>
              <w:t>-mudeliga, tuvastasime eelnõud ning selles</w:t>
            </w:r>
          </w:p>
          <w:p w14:paraId="04D189B9" w14:textId="5C0C56CC" w:rsidR="006D6C6F" w:rsidRPr="006D6C6F" w:rsidRDefault="006D6C6F" w:rsidP="006D6C6F">
            <w:pPr>
              <w:jc w:val="both"/>
              <w:rPr>
                <w:rFonts w:ascii="Times New Roman" w:hAnsi="Times New Roman" w:cs="Times New Roman"/>
                <w:sz w:val="24"/>
                <w:szCs w:val="24"/>
              </w:rPr>
            </w:pPr>
            <w:r w:rsidRPr="006D6C6F">
              <w:rPr>
                <w:rFonts w:ascii="Times New Roman" w:hAnsi="Times New Roman" w:cs="Times New Roman"/>
                <w:sz w:val="24"/>
                <w:szCs w:val="24"/>
              </w:rPr>
              <w:t>viidatud materjale lugedes mitmed eeldused, mida on võimalik vaidlustada. Näiteks rajaneb terve</w:t>
            </w:r>
            <w:r>
              <w:rPr>
                <w:rFonts w:ascii="Times New Roman" w:hAnsi="Times New Roman" w:cs="Times New Roman"/>
                <w:sz w:val="24"/>
                <w:szCs w:val="24"/>
              </w:rPr>
              <w:t xml:space="preserve"> </w:t>
            </w:r>
            <w:proofErr w:type="spellStart"/>
            <w:r w:rsidRPr="006D6C6F">
              <w:rPr>
                <w:rFonts w:ascii="Times New Roman" w:hAnsi="Times New Roman" w:cs="Times New Roman"/>
                <w:sz w:val="24"/>
                <w:szCs w:val="24"/>
              </w:rPr>
              <w:t>CfD</w:t>
            </w:r>
            <w:proofErr w:type="spellEnd"/>
            <w:r w:rsidRPr="006D6C6F">
              <w:rPr>
                <w:rFonts w:ascii="Times New Roman" w:hAnsi="Times New Roman" w:cs="Times New Roman"/>
                <w:sz w:val="24"/>
                <w:szCs w:val="24"/>
              </w:rPr>
              <w:t xml:space="preserve"> argumentatsioon eeldusel, et ilma </w:t>
            </w:r>
            <w:proofErr w:type="spellStart"/>
            <w:r w:rsidRPr="006D6C6F">
              <w:rPr>
                <w:rFonts w:ascii="Times New Roman" w:hAnsi="Times New Roman" w:cs="Times New Roman"/>
                <w:sz w:val="24"/>
                <w:szCs w:val="24"/>
              </w:rPr>
              <w:t>CfD</w:t>
            </w:r>
            <w:proofErr w:type="spellEnd"/>
            <w:r w:rsidRPr="006D6C6F">
              <w:rPr>
                <w:rFonts w:ascii="Times New Roman" w:hAnsi="Times New Roman" w:cs="Times New Roman"/>
                <w:sz w:val="24"/>
                <w:szCs w:val="24"/>
              </w:rPr>
              <w:t xml:space="preserve"> oksjoniteta ei rajata Eestisse ühtegi täiendavat </w:t>
            </w:r>
            <w:r>
              <w:rPr>
                <w:rFonts w:ascii="Times New Roman" w:hAnsi="Times New Roman" w:cs="Times New Roman"/>
                <w:sz w:val="24"/>
                <w:szCs w:val="24"/>
              </w:rPr>
              <w:t xml:space="preserve">päikesega </w:t>
            </w:r>
            <w:r w:rsidRPr="006D6C6F">
              <w:rPr>
                <w:rFonts w:ascii="Times New Roman" w:hAnsi="Times New Roman" w:cs="Times New Roman"/>
                <w:sz w:val="24"/>
                <w:szCs w:val="24"/>
              </w:rPr>
              <w:t>tuuleparki. Sellest tulenevalt pisendavad tehtud arvutused täiendavat riigi poolt makstavat kulu</w:t>
            </w:r>
            <w:r>
              <w:rPr>
                <w:rFonts w:ascii="Times New Roman" w:hAnsi="Times New Roman" w:cs="Times New Roman"/>
                <w:sz w:val="24"/>
                <w:szCs w:val="24"/>
              </w:rPr>
              <w:t xml:space="preserve"> </w:t>
            </w:r>
            <w:r w:rsidRPr="006D6C6F">
              <w:rPr>
                <w:rFonts w:ascii="Times New Roman" w:hAnsi="Times New Roman" w:cs="Times New Roman"/>
                <w:sz w:val="24"/>
                <w:szCs w:val="24"/>
              </w:rPr>
              <w:t>ning paisutavad saadavat tulu (lisanduva megavati kohta).</w:t>
            </w:r>
          </w:p>
          <w:p w14:paraId="5BD9943A" w14:textId="1DEB8C83" w:rsidR="006D6C6F" w:rsidRPr="006D6C6F" w:rsidRDefault="006D6C6F" w:rsidP="006D6C6F">
            <w:pPr>
              <w:jc w:val="both"/>
              <w:rPr>
                <w:rFonts w:ascii="Times New Roman" w:hAnsi="Times New Roman" w:cs="Times New Roman"/>
                <w:sz w:val="24"/>
                <w:szCs w:val="24"/>
              </w:rPr>
            </w:pPr>
            <w:r w:rsidRPr="006D6C6F">
              <w:rPr>
                <w:rFonts w:ascii="Times New Roman" w:hAnsi="Times New Roman" w:cs="Times New Roman"/>
                <w:sz w:val="24"/>
                <w:szCs w:val="24"/>
              </w:rPr>
              <w:t xml:space="preserve">Turutingimustel arendatud ja seega ühiskonnale soodsaimad tuulepargid, mis valmiks ka ilma </w:t>
            </w:r>
            <w:proofErr w:type="spellStart"/>
            <w:r w:rsidRPr="006D6C6F">
              <w:rPr>
                <w:rFonts w:ascii="Times New Roman" w:hAnsi="Times New Roman" w:cs="Times New Roman"/>
                <w:sz w:val="24"/>
                <w:szCs w:val="24"/>
              </w:rPr>
              <w:t>CfD</w:t>
            </w:r>
            <w:proofErr w:type="spellEnd"/>
            <w:r>
              <w:rPr>
                <w:rFonts w:ascii="Times New Roman" w:hAnsi="Times New Roman" w:cs="Times New Roman"/>
                <w:sz w:val="24"/>
                <w:szCs w:val="24"/>
              </w:rPr>
              <w:t xml:space="preserve"> </w:t>
            </w:r>
            <w:r w:rsidRPr="006D6C6F">
              <w:rPr>
                <w:rFonts w:ascii="Times New Roman" w:hAnsi="Times New Roman" w:cs="Times New Roman"/>
                <w:sz w:val="24"/>
                <w:szCs w:val="24"/>
              </w:rPr>
              <w:t xml:space="preserve">oksjoniteta, muutuvad tarbijale kallimaks (sest need saavad </w:t>
            </w:r>
            <w:proofErr w:type="spellStart"/>
            <w:r w:rsidRPr="006D6C6F">
              <w:rPr>
                <w:rFonts w:ascii="Times New Roman" w:hAnsi="Times New Roman" w:cs="Times New Roman"/>
                <w:sz w:val="24"/>
                <w:szCs w:val="24"/>
              </w:rPr>
              <w:t>CfD</w:t>
            </w:r>
            <w:proofErr w:type="spellEnd"/>
            <w:r w:rsidRPr="006D6C6F">
              <w:rPr>
                <w:rFonts w:ascii="Times New Roman" w:hAnsi="Times New Roman" w:cs="Times New Roman"/>
                <w:sz w:val="24"/>
                <w:szCs w:val="24"/>
              </w:rPr>
              <w:t xml:space="preserve"> oksjoniga määratud lisatulu) ning</w:t>
            </w:r>
            <w:r>
              <w:rPr>
                <w:rFonts w:ascii="Times New Roman" w:hAnsi="Times New Roman" w:cs="Times New Roman"/>
                <w:sz w:val="24"/>
                <w:szCs w:val="24"/>
              </w:rPr>
              <w:t xml:space="preserve"> </w:t>
            </w:r>
            <w:r w:rsidRPr="006D6C6F">
              <w:rPr>
                <w:rFonts w:ascii="Times New Roman" w:hAnsi="Times New Roman" w:cs="Times New Roman"/>
                <w:sz w:val="24"/>
                <w:szCs w:val="24"/>
              </w:rPr>
              <w:t>tänu täiendavale maksumaksja toetusele ehitatakse valmis ka halvemad lahendused, mis</w:t>
            </w:r>
            <w:r>
              <w:rPr>
                <w:rFonts w:ascii="Times New Roman" w:hAnsi="Times New Roman" w:cs="Times New Roman"/>
                <w:sz w:val="24"/>
                <w:szCs w:val="24"/>
              </w:rPr>
              <w:t xml:space="preserve"> </w:t>
            </w:r>
            <w:r w:rsidRPr="006D6C6F">
              <w:rPr>
                <w:rFonts w:ascii="Times New Roman" w:hAnsi="Times New Roman" w:cs="Times New Roman"/>
                <w:sz w:val="24"/>
                <w:szCs w:val="24"/>
              </w:rPr>
              <w:t>vabaturumajanduses jääks ehitamata. Tegelikkuses on täna arenduses mitmeid maismaa</w:t>
            </w:r>
            <w:r>
              <w:rPr>
                <w:rFonts w:ascii="Times New Roman" w:hAnsi="Times New Roman" w:cs="Times New Roman"/>
                <w:sz w:val="24"/>
                <w:szCs w:val="24"/>
              </w:rPr>
              <w:t xml:space="preserve"> </w:t>
            </w:r>
            <w:r w:rsidRPr="006D6C6F">
              <w:rPr>
                <w:rFonts w:ascii="Times New Roman" w:hAnsi="Times New Roman" w:cs="Times New Roman"/>
                <w:sz w:val="24"/>
                <w:szCs w:val="24"/>
              </w:rPr>
              <w:t>tuuleparke, mis on turutingimustel konkurentsivõimelised ning mille realiseerumise kiirus sõltub</w:t>
            </w:r>
            <w:r>
              <w:rPr>
                <w:rFonts w:ascii="Times New Roman" w:hAnsi="Times New Roman" w:cs="Times New Roman"/>
                <w:sz w:val="24"/>
                <w:szCs w:val="24"/>
              </w:rPr>
              <w:t xml:space="preserve"> </w:t>
            </w:r>
            <w:r w:rsidRPr="006D6C6F">
              <w:rPr>
                <w:rFonts w:ascii="Times New Roman" w:hAnsi="Times New Roman" w:cs="Times New Roman"/>
                <w:sz w:val="24"/>
                <w:szCs w:val="24"/>
              </w:rPr>
              <w:t>ennekõike hoopis kohalikest planeeringumenetlustest ning taskukohasest ja ajakohasest ligipääsust</w:t>
            </w:r>
            <w:r>
              <w:rPr>
                <w:rFonts w:ascii="Times New Roman" w:hAnsi="Times New Roman" w:cs="Times New Roman"/>
                <w:sz w:val="24"/>
                <w:szCs w:val="24"/>
              </w:rPr>
              <w:t xml:space="preserve"> </w:t>
            </w:r>
            <w:r w:rsidRPr="006D6C6F">
              <w:rPr>
                <w:rFonts w:ascii="Times New Roman" w:hAnsi="Times New Roman" w:cs="Times New Roman"/>
                <w:sz w:val="24"/>
                <w:szCs w:val="24"/>
              </w:rPr>
              <w:t>põhivõrgule.</w:t>
            </w:r>
          </w:p>
          <w:p w14:paraId="45185128" w14:textId="77777777" w:rsidR="006D6C6F" w:rsidRPr="006D6C6F" w:rsidRDefault="006D6C6F" w:rsidP="006D6C6F">
            <w:pPr>
              <w:jc w:val="both"/>
              <w:rPr>
                <w:rFonts w:ascii="Times New Roman" w:hAnsi="Times New Roman" w:cs="Times New Roman"/>
                <w:sz w:val="24"/>
                <w:szCs w:val="24"/>
              </w:rPr>
            </w:pPr>
            <w:r w:rsidRPr="006D6C6F">
              <w:rPr>
                <w:rFonts w:ascii="Times New Roman" w:hAnsi="Times New Roman" w:cs="Times New Roman"/>
                <w:sz w:val="24"/>
                <w:szCs w:val="24"/>
              </w:rPr>
              <w:t xml:space="preserve">Meile teadaolevalt on </w:t>
            </w:r>
            <w:proofErr w:type="spellStart"/>
            <w:r w:rsidRPr="006D6C6F">
              <w:rPr>
                <w:rFonts w:ascii="Times New Roman" w:hAnsi="Times New Roman" w:cs="Times New Roman"/>
                <w:sz w:val="24"/>
                <w:szCs w:val="24"/>
              </w:rPr>
              <w:t>KliM’il</w:t>
            </w:r>
            <w:proofErr w:type="spellEnd"/>
            <w:r w:rsidRPr="006D6C6F">
              <w:rPr>
                <w:rFonts w:ascii="Times New Roman" w:hAnsi="Times New Roman" w:cs="Times New Roman"/>
                <w:sz w:val="24"/>
                <w:szCs w:val="24"/>
              </w:rPr>
              <w:t xml:space="preserve"> kavas korraldada maismaa tuuleparkide </w:t>
            </w:r>
            <w:proofErr w:type="spellStart"/>
            <w:r w:rsidRPr="006D6C6F">
              <w:rPr>
                <w:rFonts w:ascii="Times New Roman" w:hAnsi="Times New Roman" w:cs="Times New Roman"/>
                <w:sz w:val="24"/>
                <w:szCs w:val="24"/>
              </w:rPr>
              <w:t>CfD</w:t>
            </w:r>
            <w:proofErr w:type="spellEnd"/>
            <w:r w:rsidRPr="006D6C6F">
              <w:rPr>
                <w:rFonts w:ascii="Times New Roman" w:hAnsi="Times New Roman" w:cs="Times New Roman"/>
                <w:sz w:val="24"/>
                <w:szCs w:val="24"/>
              </w:rPr>
              <w:t xml:space="preserve"> oksjon enne</w:t>
            </w:r>
          </w:p>
          <w:p w14:paraId="42CB91A2" w14:textId="49039724" w:rsidR="006D6C6F" w:rsidRPr="006D6C6F" w:rsidRDefault="006D6C6F" w:rsidP="006D6C6F">
            <w:pPr>
              <w:jc w:val="both"/>
              <w:rPr>
                <w:rFonts w:ascii="Times New Roman" w:hAnsi="Times New Roman" w:cs="Times New Roman"/>
                <w:sz w:val="24"/>
                <w:szCs w:val="24"/>
              </w:rPr>
            </w:pPr>
            <w:r w:rsidRPr="006D6C6F">
              <w:rPr>
                <w:rFonts w:ascii="Times New Roman" w:hAnsi="Times New Roman" w:cs="Times New Roman"/>
                <w:sz w:val="24"/>
                <w:szCs w:val="24"/>
              </w:rPr>
              <w:lastRenderedPageBreak/>
              <w:t xml:space="preserve">meretuuleparkide </w:t>
            </w:r>
            <w:proofErr w:type="spellStart"/>
            <w:r w:rsidRPr="006D6C6F">
              <w:rPr>
                <w:rFonts w:ascii="Times New Roman" w:hAnsi="Times New Roman" w:cs="Times New Roman"/>
                <w:sz w:val="24"/>
                <w:szCs w:val="24"/>
              </w:rPr>
              <w:t>CfD</w:t>
            </w:r>
            <w:proofErr w:type="spellEnd"/>
            <w:r w:rsidRPr="006D6C6F">
              <w:rPr>
                <w:rFonts w:ascii="Times New Roman" w:hAnsi="Times New Roman" w:cs="Times New Roman"/>
                <w:sz w:val="24"/>
                <w:szCs w:val="24"/>
              </w:rPr>
              <w:t xml:space="preserve"> oksjonit, kuigi viimase tulemused mõjutavad oluliselt esimest. Tuul puhub</w:t>
            </w:r>
            <w:r>
              <w:rPr>
                <w:rFonts w:ascii="Times New Roman" w:hAnsi="Times New Roman" w:cs="Times New Roman"/>
                <w:sz w:val="24"/>
                <w:szCs w:val="24"/>
              </w:rPr>
              <w:t xml:space="preserve"> </w:t>
            </w:r>
            <w:r w:rsidRPr="006D6C6F">
              <w:rPr>
                <w:rFonts w:ascii="Times New Roman" w:hAnsi="Times New Roman" w:cs="Times New Roman"/>
                <w:sz w:val="24"/>
                <w:szCs w:val="24"/>
              </w:rPr>
              <w:t>samaaegselt nii Liivi lahes kui Põhja-Pärnumaa vallas; kui meretuulepark ei pea turuhinnaga</w:t>
            </w:r>
            <w:r>
              <w:rPr>
                <w:rFonts w:ascii="Times New Roman" w:hAnsi="Times New Roman" w:cs="Times New Roman"/>
                <w:sz w:val="24"/>
                <w:szCs w:val="24"/>
              </w:rPr>
              <w:t xml:space="preserve"> </w:t>
            </w:r>
            <w:r w:rsidRPr="006D6C6F">
              <w:rPr>
                <w:rFonts w:ascii="Times New Roman" w:hAnsi="Times New Roman" w:cs="Times New Roman"/>
                <w:sz w:val="24"/>
                <w:szCs w:val="24"/>
              </w:rPr>
              <w:t>arvestama ning saab alati garanteeritud miinimumhinna, siis hakkab garanteeritud miinimumhinda</w:t>
            </w:r>
            <w:r>
              <w:rPr>
                <w:rFonts w:ascii="Times New Roman" w:hAnsi="Times New Roman" w:cs="Times New Roman"/>
                <w:sz w:val="24"/>
                <w:szCs w:val="24"/>
              </w:rPr>
              <w:t xml:space="preserve"> </w:t>
            </w:r>
            <w:r w:rsidRPr="006D6C6F">
              <w:rPr>
                <w:rFonts w:ascii="Times New Roman" w:hAnsi="Times New Roman" w:cs="Times New Roman"/>
                <w:sz w:val="24"/>
                <w:szCs w:val="24"/>
              </w:rPr>
              <w:t>nõudma ka maismaatuulepark, mis muidu oleks kasumlik turutingimustel. See omakorda paneb</w:t>
            </w:r>
            <w:r>
              <w:rPr>
                <w:rFonts w:ascii="Times New Roman" w:hAnsi="Times New Roman" w:cs="Times New Roman"/>
                <w:sz w:val="24"/>
                <w:szCs w:val="24"/>
              </w:rPr>
              <w:t xml:space="preserve"> </w:t>
            </w:r>
            <w:r w:rsidRPr="006D6C6F">
              <w:rPr>
                <w:rFonts w:ascii="Times New Roman" w:hAnsi="Times New Roman" w:cs="Times New Roman"/>
                <w:sz w:val="24"/>
                <w:szCs w:val="24"/>
              </w:rPr>
              <w:t>toetust nõudma ka näiteks tuumajaama arendaja, kelle ärikaasus on siiani olnud üles ehitatud samuti</w:t>
            </w:r>
            <w:r>
              <w:rPr>
                <w:rFonts w:ascii="Times New Roman" w:hAnsi="Times New Roman" w:cs="Times New Roman"/>
                <w:sz w:val="24"/>
                <w:szCs w:val="24"/>
              </w:rPr>
              <w:t xml:space="preserve"> </w:t>
            </w:r>
            <w:r w:rsidRPr="006D6C6F">
              <w:rPr>
                <w:rFonts w:ascii="Times New Roman" w:hAnsi="Times New Roman" w:cs="Times New Roman"/>
                <w:sz w:val="24"/>
                <w:szCs w:val="24"/>
              </w:rPr>
              <w:t>turupõhiselt kujunevale hinnale.</w:t>
            </w:r>
          </w:p>
          <w:p w14:paraId="169ED14A" w14:textId="77777777" w:rsidR="006D6C6F" w:rsidRPr="006D6C6F" w:rsidRDefault="006D6C6F" w:rsidP="006D6C6F">
            <w:pPr>
              <w:jc w:val="both"/>
              <w:rPr>
                <w:rFonts w:ascii="Times New Roman" w:hAnsi="Times New Roman" w:cs="Times New Roman"/>
                <w:sz w:val="24"/>
                <w:szCs w:val="24"/>
              </w:rPr>
            </w:pPr>
            <w:r w:rsidRPr="006D6C6F">
              <w:rPr>
                <w:rFonts w:ascii="Times New Roman" w:hAnsi="Times New Roman" w:cs="Times New Roman"/>
                <w:sz w:val="24"/>
                <w:szCs w:val="24"/>
              </w:rPr>
              <w:t xml:space="preserve">On oluline märkida, et Lätis nimetatud </w:t>
            </w:r>
            <w:proofErr w:type="spellStart"/>
            <w:r w:rsidRPr="006D6C6F">
              <w:rPr>
                <w:rFonts w:ascii="Times New Roman" w:hAnsi="Times New Roman" w:cs="Times New Roman"/>
                <w:sz w:val="24"/>
                <w:szCs w:val="24"/>
              </w:rPr>
              <w:t>CfD</w:t>
            </w:r>
            <w:proofErr w:type="spellEnd"/>
            <w:r w:rsidRPr="006D6C6F">
              <w:rPr>
                <w:rFonts w:ascii="Times New Roman" w:hAnsi="Times New Roman" w:cs="Times New Roman"/>
                <w:sz w:val="24"/>
                <w:szCs w:val="24"/>
              </w:rPr>
              <w:t xml:space="preserve"> mehhanismi ei ole ning meile teadaolevalt ka ei</w:t>
            </w:r>
          </w:p>
          <w:p w14:paraId="65CFCAC3" w14:textId="77777777" w:rsidR="006D6C6F" w:rsidRPr="006D6C6F" w:rsidRDefault="006D6C6F" w:rsidP="006D6C6F">
            <w:pPr>
              <w:jc w:val="both"/>
              <w:rPr>
                <w:rFonts w:ascii="Times New Roman" w:hAnsi="Times New Roman" w:cs="Times New Roman"/>
                <w:sz w:val="24"/>
                <w:szCs w:val="24"/>
              </w:rPr>
            </w:pPr>
            <w:r w:rsidRPr="006D6C6F">
              <w:rPr>
                <w:rFonts w:ascii="Times New Roman" w:hAnsi="Times New Roman" w:cs="Times New Roman"/>
                <w:sz w:val="24"/>
                <w:szCs w:val="24"/>
              </w:rPr>
              <w:t xml:space="preserve">kavandata - ehk sealne tuulepargi omanik arvestab ainult </w:t>
            </w:r>
            <w:proofErr w:type="spellStart"/>
            <w:r w:rsidRPr="006D6C6F">
              <w:rPr>
                <w:rFonts w:ascii="Times New Roman" w:hAnsi="Times New Roman" w:cs="Times New Roman"/>
                <w:sz w:val="24"/>
                <w:szCs w:val="24"/>
              </w:rPr>
              <w:t>NordPooli</w:t>
            </w:r>
            <w:proofErr w:type="spellEnd"/>
            <w:r w:rsidRPr="006D6C6F">
              <w:rPr>
                <w:rFonts w:ascii="Times New Roman" w:hAnsi="Times New Roman" w:cs="Times New Roman"/>
                <w:sz w:val="24"/>
                <w:szCs w:val="24"/>
              </w:rPr>
              <w:t xml:space="preserve"> elektriturul kujuneva hinnaga.</w:t>
            </w:r>
          </w:p>
          <w:p w14:paraId="6FA29499" w14:textId="77777777" w:rsidR="006D6C6F" w:rsidRPr="006D6C6F" w:rsidRDefault="006D6C6F" w:rsidP="006D6C6F">
            <w:pPr>
              <w:jc w:val="both"/>
              <w:rPr>
                <w:rFonts w:ascii="Times New Roman" w:hAnsi="Times New Roman" w:cs="Times New Roman"/>
                <w:sz w:val="24"/>
                <w:szCs w:val="24"/>
              </w:rPr>
            </w:pPr>
            <w:r w:rsidRPr="006D6C6F">
              <w:rPr>
                <w:rFonts w:ascii="Times New Roman" w:hAnsi="Times New Roman" w:cs="Times New Roman"/>
                <w:sz w:val="24"/>
                <w:szCs w:val="24"/>
              </w:rPr>
              <w:t>Mainimata ei saa jätta ka meie teisi koduturge Norrat ja Rootsit, kus maismaatuuleparke</w:t>
            </w:r>
          </w:p>
          <w:p w14:paraId="6184D4E9" w14:textId="31F3215B" w:rsidR="006D6C6F" w:rsidRPr="006D6C6F" w:rsidRDefault="006D6C6F" w:rsidP="006D6C6F">
            <w:pPr>
              <w:jc w:val="both"/>
              <w:rPr>
                <w:rFonts w:ascii="Times New Roman" w:hAnsi="Times New Roman" w:cs="Times New Roman"/>
                <w:sz w:val="24"/>
                <w:szCs w:val="24"/>
              </w:rPr>
            </w:pPr>
            <w:r w:rsidRPr="006D6C6F">
              <w:rPr>
                <w:rFonts w:ascii="Times New Roman" w:hAnsi="Times New Roman" w:cs="Times New Roman"/>
                <w:sz w:val="24"/>
                <w:szCs w:val="24"/>
              </w:rPr>
              <w:t>kavandatakse ilma riigipoolse rahalise toetuseta ning isegi kui meretuuleparkidele kaalutakse toetuse</w:t>
            </w:r>
            <w:r>
              <w:rPr>
                <w:rFonts w:ascii="Times New Roman" w:hAnsi="Times New Roman" w:cs="Times New Roman"/>
                <w:sz w:val="24"/>
                <w:szCs w:val="24"/>
              </w:rPr>
              <w:t xml:space="preserve"> </w:t>
            </w:r>
            <w:r w:rsidRPr="006D6C6F">
              <w:rPr>
                <w:rFonts w:ascii="Times New Roman" w:hAnsi="Times New Roman" w:cs="Times New Roman"/>
                <w:sz w:val="24"/>
                <w:szCs w:val="24"/>
              </w:rPr>
              <w:t>maksmist, ei ole sellel kohalikule turule nii suur mõju kui Eestis.</w:t>
            </w:r>
          </w:p>
          <w:p w14:paraId="3FE8E961" w14:textId="77777777" w:rsidR="006D6C6F" w:rsidRPr="006D6C6F" w:rsidRDefault="006D6C6F" w:rsidP="006D6C6F">
            <w:pPr>
              <w:jc w:val="both"/>
              <w:rPr>
                <w:rFonts w:ascii="Times New Roman" w:hAnsi="Times New Roman" w:cs="Times New Roman"/>
                <w:sz w:val="24"/>
                <w:szCs w:val="24"/>
              </w:rPr>
            </w:pPr>
            <w:r w:rsidRPr="006D6C6F">
              <w:rPr>
                <w:rFonts w:ascii="Times New Roman" w:hAnsi="Times New Roman" w:cs="Times New Roman"/>
                <w:sz w:val="24"/>
                <w:szCs w:val="24"/>
              </w:rPr>
              <w:t xml:space="preserve">Olukorras, kus erinevalt naaberriikidest tekivad Eestis arvestatavad </w:t>
            </w:r>
            <w:proofErr w:type="spellStart"/>
            <w:r w:rsidRPr="006D6C6F">
              <w:rPr>
                <w:rFonts w:ascii="Times New Roman" w:hAnsi="Times New Roman" w:cs="Times New Roman"/>
                <w:sz w:val="24"/>
                <w:szCs w:val="24"/>
              </w:rPr>
              <w:t>CfD</w:t>
            </w:r>
            <w:proofErr w:type="spellEnd"/>
            <w:r w:rsidRPr="006D6C6F">
              <w:rPr>
                <w:rFonts w:ascii="Times New Roman" w:hAnsi="Times New Roman" w:cs="Times New Roman"/>
                <w:sz w:val="24"/>
                <w:szCs w:val="24"/>
              </w:rPr>
              <w:t xml:space="preserve">-d, muutub </w:t>
            </w:r>
            <w:proofErr w:type="spellStart"/>
            <w:r w:rsidRPr="006D6C6F">
              <w:rPr>
                <w:rFonts w:ascii="Times New Roman" w:hAnsi="Times New Roman" w:cs="Times New Roman"/>
                <w:sz w:val="24"/>
                <w:szCs w:val="24"/>
              </w:rPr>
              <w:t>NordPoolil</w:t>
            </w:r>
            <w:proofErr w:type="spellEnd"/>
          </w:p>
          <w:p w14:paraId="4314BD06" w14:textId="023E42B2" w:rsidR="006D6C6F" w:rsidRPr="006D6C6F" w:rsidRDefault="006D6C6F" w:rsidP="006D6C6F">
            <w:pPr>
              <w:jc w:val="both"/>
              <w:rPr>
                <w:rFonts w:ascii="Times New Roman" w:hAnsi="Times New Roman" w:cs="Times New Roman"/>
                <w:sz w:val="24"/>
                <w:szCs w:val="24"/>
              </w:rPr>
            </w:pPr>
            <w:r w:rsidRPr="006D6C6F">
              <w:rPr>
                <w:rFonts w:ascii="Times New Roman" w:hAnsi="Times New Roman" w:cs="Times New Roman"/>
                <w:sz w:val="24"/>
                <w:szCs w:val="24"/>
              </w:rPr>
              <w:t>kujuneva elektrihinna prognoosimine veelgi rohkem ennustatumaks. Tulevikuprognoose raskendab</w:t>
            </w:r>
            <w:r>
              <w:rPr>
                <w:rFonts w:ascii="Times New Roman" w:hAnsi="Times New Roman" w:cs="Times New Roman"/>
                <w:sz w:val="24"/>
                <w:szCs w:val="24"/>
              </w:rPr>
              <w:t xml:space="preserve"> </w:t>
            </w:r>
            <w:r w:rsidRPr="006D6C6F">
              <w:rPr>
                <w:rFonts w:ascii="Times New Roman" w:hAnsi="Times New Roman" w:cs="Times New Roman"/>
                <w:sz w:val="24"/>
                <w:szCs w:val="24"/>
              </w:rPr>
              <w:t xml:space="preserve">asjaolu, et ei mere- ega maismaa tuuleparkide arendajad ei saa </w:t>
            </w:r>
            <w:proofErr w:type="spellStart"/>
            <w:r w:rsidRPr="006D6C6F">
              <w:rPr>
                <w:rFonts w:ascii="Times New Roman" w:hAnsi="Times New Roman" w:cs="Times New Roman"/>
                <w:sz w:val="24"/>
                <w:szCs w:val="24"/>
              </w:rPr>
              <w:t>CfD</w:t>
            </w:r>
            <w:proofErr w:type="spellEnd"/>
            <w:r w:rsidRPr="006D6C6F">
              <w:rPr>
                <w:rFonts w:ascii="Times New Roman" w:hAnsi="Times New Roman" w:cs="Times New Roman"/>
                <w:sz w:val="24"/>
                <w:szCs w:val="24"/>
              </w:rPr>
              <w:t xml:space="preserve"> mehhanismi puhul toetust</w:t>
            </w:r>
            <w:r>
              <w:rPr>
                <w:rFonts w:ascii="Times New Roman" w:hAnsi="Times New Roman" w:cs="Times New Roman"/>
                <w:sz w:val="24"/>
                <w:szCs w:val="24"/>
              </w:rPr>
              <w:t xml:space="preserve"> </w:t>
            </w:r>
            <w:r w:rsidRPr="006D6C6F">
              <w:rPr>
                <w:rFonts w:ascii="Times New Roman" w:hAnsi="Times New Roman" w:cs="Times New Roman"/>
                <w:sz w:val="24"/>
                <w:szCs w:val="24"/>
              </w:rPr>
              <w:t>negatiivse elektrihinna puhul. Olukorras, kus elektrihind võib ühel tunnil olla -0.01 EUR/MWh ning</w:t>
            </w:r>
            <w:r>
              <w:rPr>
                <w:rFonts w:ascii="Times New Roman" w:hAnsi="Times New Roman" w:cs="Times New Roman"/>
                <w:sz w:val="24"/>
                <w:szCs w:val="24"/>
              </w:rPr>
              <w:t xml:space="preserve"> </w:t>
            </w:r>
            <w:r w:rsidRPr="006D6C6F">
              <w:rPr>
                <w:rFonts w:ascii="Times New Roman" w:hAnsi="Times New Roman" w:cs="Times New Roman"/>
                <w:sz w:val="24"/>
                <w:szCs w:val="24"/>
              </w:rPr>
              <w:t>järgmisel tunnil 0.01 EUR/MWh, rakendub viimasel juhul praeguse kava kohaselt (sõltuvalt lõplikest</w:t>
            </w:r>
            <w:r>
              <w:rPr>
                <w:rFonts w:ascii="Times New Roman" w:hAnsi="Times New Roman" w:cs="Times New Roman"/>
                <w:sz w:val="24"/>
                <w:szCs w:val="24"/>
              </w:rPr>
              <w:t xml:space="preserve"> </w:t>
            </w:r>
            <w:r w:rsidRPr="006D6C6F">
              <w:rPr>
                <w:rFonts w:ascii="Times New Roman" w:hAnsi="Times New Roman" w:cs="Times New Roman"/>
                <w:sz w:val="24"/>
                <w:szCs w:val="24"/>
              </w:rPr>
              <w:t xml:space="preserve">otsustest ning </w:t>
            </w:r>
            <w:proofErr w:type="spellStart"/>
            <w:r w:rsidRPr="006D6C6F">
              <w:rPr>
                <w:rFonts w:ascii="Times New Roman" w:hAnsi="Times New Roman" w:cs="Times New Roman"/>
                <w:sz w:val="24"/>
                <w:szCs w:val="24"/>
              </w:rPr>
              <w:t>CfD</w:t>
            </w:r>
            <w:proofErr w:type="spellEnd"/>
            <w:r w:rsidRPr="006D6C6F">
              <w:rPr>
                <w:rFonts w:ascii="Times New Roman" w:hAnsi="Times New Roman" w:cs="Times New Roman"/>
                <w:sz w:val="24"/>
                <w:szCs w:val="24"/>
              </w:rPr>
              <w:t xml:space="preserve"> oksjonite tulemustest) kuni 20 EUR/MWh täiendav toetus maismaatuulepargile ning</w:t>
            </w:r>
            <w:r>
              <w:rPr>
                <w:rFonts w:ascii="Times New Roman" w:hAnsi="Times New Roman" w:cs="Times New Roman"/>
                <w:sz w:val="24"/>
                <w:szCs w:val="24"/>
              </w:rPr>
              <w:t xml:space="preserve"> </w:t>
            </w:r>
            <w:r w:rsidRPr="006D6C6F">
              <w:rPr>
                <w:rFonts w:ascii="Times New Roman" w:hAnsi="Times New Roman" w:cs="Times New Roman"/>
                <w:sz w:val="24"/>
                <w:szCs w:val="24"/>
              </w:rPr>
              <w:t>kuni 65 EUR/MWh toetus meretuulepargile, mis on erinevalt 0.02-eurosest megavati turuhinna</w:t>
            </w:r>
            <w:r>
              <w:rPr>
                <w:rFonts w:ascii="Times New Roman" w:hAnsi="Times New Roman" w:cs="Times New Roman"/>
                <w:sz w:val="24"/>
                <w:szCs w:val="24"/>
              </w:rPr>
              <w:t xml:space="preserve"> </w:t>
            </w:r>
            <w:r w:rsidRPr="006D6C6F">
              <w:rPr>
                <w:rFonts w:ascii="Times New Roman" w:hAnsi="Times New Roman" w:cs="Times New Roman"/>
                <w:sz w:val="24"/>
                <w:szCs w:val="24"/>
              </w:rPr>
              <w:t>muutusest 22.01 või isegi 65.01 euro võrra suurenev muutus.</w:t>
            </w:r>
          </w:p>
          <w:p w14:paraId="3818BB14" w14:textId="77777777" w:rsidR="000A69C8" w:rsidRDefault="006D6C6F" w:rsidP="000A69C8">
            <w:pPr>
              <w:jc w:val="both"/>
              <w:rPr>
                <w:rFonts w:ascii="Times New Roman" w:hAnsi="Times New Roman" w:cs="Times New Roman"/>
                <w:b/>
                <w:bCs/>
                <w:sz w:val="24"/>
                <w:szCs w:val="24"/>
              </w:rPr>
            </w:pPr>
            <w:r w:rsidRPr="006D6C6F">
              <w:rPr>
                <w:rFonts w:ascii="Times New Roman" w:hAnsi="Times New Roman" w:cs="Times New Roman"/>
                <w:b/>
                <w:bCs/>
                <w:sz w:val="24"/>
                <w:szCs w:val="24"/>
              </w:rPr>
              <w:t xml:space="preserve">Meie ettepanek on, et riik lükkaks edasi otsuse </w:t>
            </w:r>
            <w:proofErr w:type="spellStart"/>
            <w:r w:rsidRPr="006D6C6F">
              <w:rPr>
                <w:rFonts w:ascii="Times New Roman" w:hAnsi="Times New Roman" w:cs="Times New Roman"/>
                <w:b/>
                <w:bCs/>
                <w:sz w:val="24"/>
                <w:szCs w:val="24"/>
              </w:rPr>
              <w:t>CfD</w:t>
            </w:r>
            <w:proofErr w:type="spellEnd"/>
            <w:r w:rsidRPr="006D6C6F">
              <w:rPr>
                <w:rFonts w:ascii="Times New Roman" w:hAnsi="Times New Roman" w:cs="Times New Roman"/>
                <w:b/>
                <w:bCs/>
                <w:sz w:val="24"/>
                <w:szCs w:val="24"/>
              </w:rPr>
              <w:t xml:space="preserve"> oksjonite vajalikkuse ja selle korraldamise kohta,</w:t>
            </w:r>
            <w:r>
              <w:rPr>
                <w:rFonts w:ascii="Times New Roman" w:hAnsi="Times New Roman" w:cs="Times New Roman"/>
                <w:b/>
                <w:bCs/>
                <w:sz w:val="24"/>
                <w:szCs w:val="24"/>
              </w:rPr>
              <w:t xml:space="preserve"> </w:t>
            </w:r>
            <w:r w:rsidRPr="006D6C6F">
              <w:rPr>
                <w:rFonts w:ascii="Times New Roman" w:hAnsi="Times New Roman" w:cs="Times New Roman"/>
                <w:b/>
                <w:bCs/>
                <w:sz w:val="24"/>
                <w:szCs w:val="24"/>
              </w:rPr>
              <w:t xml:space="preserve">et teha täiendavad konsultatsioonid turuosalistega ning tasuvusarvutused </w:t>
            </w:r>
            <w:proofErr w:type="spellStart"/>
            <w:r w:rsidRPr="006D6C6F">
              <w:rPr>
                <w:rFonts w:ascii="Times New Roman" w:hAnsi="Times New Roman" w:cs="Times New Roman"/>
                <w:b/>
                <w:bCs/>
                <w:sz w:val="24"/>
                <w:szCs w:val="24"/>
              </w:rPr>
              <w:t>CfD</w:t>
            </w:r>
            <w:proofErr w:type="spellEnd"/>
            <w:r w:rsidRPr="006D6C6F">
              <w:rPr>
                <w:rFonts w:ascii="Times New Roman" w:hAnsi="Times New Roman" w:cs="Times New Roman"/>
                <w:b/>
                <w:bCs/>
                <w:sz w:val="24"/>
                <w:szCs w:val="24"/>
              </w:rPr>
              <w:t xml:space="preserve"> vajalikkuse, suuruse</w:t>
            </w:r>
            <w:r>
              <w:rPr>
                <w:rFonts w:ascii="Times New Roman" w:hAnsi="Times New Roman" w:cs="Times New Roman"/>
                <w:b/>
                <w:bCs/>
                <w:sz w:val="24"/>
                <w:szCs w:val="24"/>
              </w:rPr>
              <w:t xml:space="preserve"> </w:t>
            </w:r>
            <w:r w:rsidRPr="006D6C6F">
              <w:rPr>
                <w:rFonts w:ascii="Times New Roman" w:hAnsi="Times New Roman" w:cs="Times New Roman"/>
                <w:b/>
                <w:bCs/>
                <w:sz w:val="24"/>
                <w:szCs w:val="24"/>
              </w:rPr>
              <w:t>ning garanteeritud miinimumtasude kohta nii mere- kui maismaatuuleparkidele ning</w:t>
            </w:r>
            <w:r>
              <w:rPr>
                <w:rFonts w:ascii="Times New Roman" w:hAnsi="Times New Roman" w:cs="Times New Roman"/>
                <w:b/>
                <w:bCs/>
                <w:sz w:val="24"/>
                <w:szCs w:val="24"/>
              </w:rPr>
              <w:t xml:space="preserve"> </w:t>
            </w:r>
            <w:r w:rsidRPr="006D6C6F">
              <w:rPr>
                <w:rFonts w:ascii="Times New Roman" w:hAnsi="Times New Roman" w:cs="Times New Roman"/>
                <w:b/>
                <w:bCs/>
                <w:sz w:val="24"/>
                <w:szCs w:val="24"/>
              </w:rPr>
              <w:t>päikesejaamadele.</w:t>
            </w:r>
          </w:p>
          <w:p w14:paraId="6F8DCB2A" w14:textId="42BFC20E" w:rsidR="00E37C5A" w:rsidRPr="009D0A70" w:rsidRDefault="00E37C5A" w:rsidP="006D6C6F">
            <w:pPr>
              <w:jc w:val="both"/>
              <w:rPr>
                <w:rFonts w:ascii="Times New Roman" w:hAnsi="Times New Roman" w:cs="Times New Roman"/>
                <w:b/>
                <w:bCs/>
                <w:sz w:val="24"/>
                <w:szCs w:val="24"/>
              </w:rPr>
            </w:pPr>
          </w:p>
        </w:tc>
        <w:tc>
          <w:tcPr>
            <w:tcW w:w="3282" w:type="dxa"/>
          </w:tcPr>
          <w:p w14:paraId="26E6CF15" w14:textId="245AFEB0" w:rsidR="00E37C5A" w:rsidRPr="00797EDC" w:rsidRDefault="0007691C"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Selgitame</w:t>
            </w:r>
          </w:p>
          <w:p w14:paraId="1E31BBE6" w14:textId="49EFA6A1" w:rsidR="004C6AB9" w:rsidRPr="001A3513" w:rsidRDefault="00B90547" w:rsidP="001A3513">
            <w:pPr>
              <w:jc w:val="both"/>
              <w:rPr>
                <w:rFonts w:ascii="Times New Roman" w:eastAsia="Calibri" w:hAnsi="Times New Roman" w:cs="Times New Roman"/>
                <w:sz w:val="24"/>
                <w:szCs w:val="24"/>
              </w:rPr>
            </w:pPr>
            <w:r w:rsidRPr="001A3513">
              <w:rPr>
                <w:rFonts w:ascii="Times New Roman" w:eastAsia="Calibri" w:hAnsi="Times New Roman" w:cs="Times New Roman"/>
                <w:sz w:val="24"/>
                <w:szCs w:val="24"/>
              </w:rPr>
              <w:t xml:space="preserve">Praegused vähempakkumiste põhimõtted on kinnitatud Vabariigi Valitsuse 22.02.2024 otsusega </w:t>
            </w:r>
          </w:p>
          <w:p w14:paraId="6CB8F60F" w14:textId="77777777" w:rsidR="004C6AB9" w:rsidRPr="00797EDC" w:rsidRDefault="004C6AB9" w:rsidP="1FD60553">
            <w:pPr>
              <w:pStyle w:val="Loendilik"/>
              <w:ind w:left="-23"/>
              <w:jc w:val="both"/>
              <w:rPr>
                <w:rFonts w:ascii="Times New Roman" w:eastAsia="Calibri" w:hAnsi="Times New Roman" w:cs="Times New Roman"/>
                <w:sz w:val="24"/>
                <w:szCs w:val="24"/>
              </w:rPr>
            </w:pPr>
          </w:p>
          <w:p w14:paraId="2DB7F8C7" w14:textId="0B540456" w:rsidR="007B22B7" w:rsidRPr="00797EDC" w:rsidRDefault="004C6AB9"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sz w:val="24"/>
                <w:szCs w:val="24"/>
              </w:rPr>
              <w:t>Otsuste tähtajad on seotud Erakorralise Ukraina Kriisi Riigiabi raamistikuga. Sellest tulenevalt tuleb otsused langetada enne 2025 lõppu.</w:t>
            </w:r>
          </w:p>
        </w:tc>
      </w:tr>
      <w:tr w:rsidR="008A15AF" w:rsidRPr="005C0F32" w14:paraId="3F473FD8" w14:textId="77777777" w:rsidTr="3199B330">
        <w:trPr>
          <w:trHeight w:val="300"/>
        </w:trPr>
        <w:tc>
          <w:tcPr>
            <w:tcW w:w="10710" w:type="dxa"/>
          </w:tcPr>
          <w:p w14:paraId="0BE247B5" w14:textId="03BB83FE" w:rsidR="008A15AF" w:rsidRPr="008A15AF" w:rsidRDefault="008A15AF" w:rsidP="006D6C6F">
            <w:pPr>
              <w:jc w:val="both"/>
              <w:rPr>
                <w:rFonts w:ascii="Times New Roman" w:hAnsi="Times New Roman" w:cs="Times New Roman"/>
                <w:b/>
                <w:bCs/>
                <w:sz w:val="24"/>
                <w:szCs w:val="24"/>
              </w:rPr>
            </w:pPr>
            <w:proofErr w:type="spellStart"/>
            <w:r w:rsidRPr="007B22B7">
              <w:rPr>
                <w:rFonts w:ascii="Times New Roman" w:hAnsi="Times New Roman" w:cs="Times New Roman"/>
                <w:b/>
                <w:bCs/>
                <w:sz w:val="24"/>
                <w:szCs w:val="24"/>
                <w:highlight w:val="cyan"/>
              </w:rPr>
              <w:t>Utilitas</w:t>
            </w:r>
            <w:proofErr w:type="spellEnd"/>
            <w:r w:rsidRPr="007B22B7">
              <w:rPr>
                <w:rFonts w:ascii="Times New Roman" w:hAnsi="Times New Roman" w:cs="Times New Roman"/>
                <w:b/>
                <w:bCs/>
                <w:sz w:val="24"/>
                <w:szCs w:val="24"/>
                <w:highlight w:val="cyan"/>
              </w:rPr>
              <w:t xml:space="preserve"> Wind</w:t>
            </w:r>
          </w:p>
        </w:tc>
        <w:tc>
          <w:tcPr>
            <w:tcW w:w="3282" w:type="dxa"/>
          </w:tcPr>
          <w:p w14:paraId="02E5A713" w14:textId="77777777" w:rsidR="008A15AF" w:rsidRPr="00797EDC" w:rsidRDefault="008A15AF" w:rsidP="1FD60553">
            <w:pPr>
              <w:pStyle w:val="Loendilik"/>
              <w:ind w:left="-23"/>
              <w:jc w:val="both"/>
              <w:rPr>
                <w:rFonts w:ascii="Times New Roman" w:eastAsia="Calibri" w:hAnsi="Times New Roman" w:cs="Times New Roman"/>
                <w:b/>
                <w:bCs/>
                <w:sz w:val="24"/>
                <w:szCs w:val="24"/>
              </w:rPr>
            </w:pPr>
          </w:p>
        </w:tc>
      </w:tr>
      <w:tr w:rsidR="00FC2B8F" w:rsidRPr="005C0F32" w14:paraId="75ABFF9B" w14:textId="77777777" w:rsidTr="3199B330">
        <w:trPr>
          <w:trHeight w:val="300"/>
        </w:trPr>
        <w:tc>
          <w:tcPr>
            <w:tcW w:w="10710" w:type="dxa"/>
          </w:tcPr>
          <w:p w14:paraId="745D6DB0" w14:textId="12DE2A87" w:rsidR="004169C9" w:rsidRDefault="004169C9" w:rsidP="00B81985">
            <w:pPr>
              <w:spacing w:before="120" w:line="276" w:lineRule="auto"/>
              <w:jc w:val="both"/>
              <w:rPr>
                <w:rFonts w:eastAsia="Times New Roman" w:cstheme="minorHAnsi"/>
                <w:b/>
                <w:bCs/>
                <w:noProof/>
              </w:rPr>
            </w:pPr>
            <w:r w:rsidRPr="004E196B">
              <w:rPr>
                <w:rFonts w:eastAsia="Times New Roman" w:cstheme="minorHAnsi"/>
                <w:b/>
                <w:bCs/>
                <w:noProof/>
              </w:rPr>
              <w:t xml:space="preserve">indekseerida meretuulepargi vähempakkumise pakkumuse hind </w:t>
            </w:r>
            <w:r w:rsidRPr="004E196B">
              <w:rPr>
                <w:rFonts w:eastAsia="Times New Roman" w:cstheme="minorHAnsi"/>
                <w:b/>
                <w:bCs/>
                <w:i/>
                <w:iCs/>
                <w:noProof/>
              </w:rPr>
              <w:t>(strike price)</w:t>
            </w:r>
            <w:r w:rsidRPr="004E196B">
              <w:rPr>
                <w:rFonts w:eastAsia="Times New Roman" w:cstheme="minorHAnsi"/>
                <w:b/>
                <w:bCs/>
                <w:noProof/>
              </w:rPr>
              <w:t xml:space="preserve"> </w:t>
            </w:r>
            <w:r>
              <w:rPr>
                <w:rFonts w:eastAsia="Times New Roman" w:cstheme="minorHAnsi"/>
                <w:b/>
                <w:bCs/>
                <w:noProof/>
              </w:rPr>
              <w:t xml:space="preserve">hinnavahelepingu kehtivusperioodi lõpuni </w:t>
            </w:r>
            <w:r w:rsidRPr="004E196B">
              <w:rPr>
                <w:rFonts w:eastAsia="Times New Roman" w:cstheme="minorHAnsi"/>
                <w:b/>
                <w:bCs/>
                <w:noProof/>
              </w:rPr>
              <w:t>euroala tarbijahinnaindeksiga</w:t>
            </w:r>
            <w:r>
              <w:rPr>
                <w:rFonts w:eastAsia="Times New Roman" w:cstheme="minorHAnsi"/>
                <w:b/>
                <w:bCs/>
                <w:noProof/>
              </w:rPr>
              <w:t>. Indekseerimine on tavapärane nii</w:t>
            </w:r>
            <w:r w:rsidRPr="004E196B">
              <w:rPr>
                <w:rFonts w:eastAsia="Times New Roman" w:cstheme="minorHAnsi"/>
                <w:b/>
                <w:bCs/>
                <w:noProof/>
              </w:rPr>
              <w:t xml:space="preserve"> Euroopa </w:t>
            </w:r>
            <w:r>
              <w:rPr>
                <w:rFonts w:eastAsia="Times New Roman" w:cstheme="minorHAnsi"/>
                <w:b/>
                <w:bCs/>
                <w:noProof/>
              </w:rPr>
              <w:t xml:space="preserve">vähempakkumiste </w:t>
            </w:r>
            <w:r w:rsidRPr="004E196B">
              <w:rPr>
                <w:rFonts w:eastAsia="Times New Roman" w:cstheme="minorHAnsi"/>
                <w:b/>
                <w:bCs/>
                <w:noProof/>
              </w:rPr>
              <w:t>praktika</w:t>
            </w:r>
            <w:r>
              <w:rPr>
                <w:rFonts w:eastAsia="Times New Roman" w:cstheme="minorHAnsi"/>
                <w:b/>
                <w:bCs/>
                <w:noProof/>
              </w:rPr>
              <w:t>s kui ka teiselt poolt meretuulepargi sisendkulude (opereerimine ja hooldus) puhul. Indekseerimine</w:t>
            </w:r>
            <w:r w:rsidRPr="004E196B">
              <w:rPr>
                <w:rFonts w:eastAsia="Times New Roman" w:cstheme="minorHAnsi"/>
                <w:b/>
                <w:bCs/>
                <w:noProof/>
              </w:rPr>
              <w:t xml:space="preserve"> taga</w:t>
            </w:r>
            <w:r>
              <w:rPr>
                <w:rFonts w:eastAsia="Times New Roman" w:cstheme="minorHAnsi"/>
                <w:b/>
                <w:bCs/>
                <w:noProof/>
              </w:rPr>
              <w:t>ks</w:t>
            </w:r>
            <w:r w:rsidRPr="004E196B">
              <w:rPr>
                <w:rFonts w:eastAsia="Times New Roman" w:cstheme="minorHAnsi"/>
                <w:b/>
                <w:bCs/>
                <w:noProof/>
              </w:rPr>
              <w:t xml:space="preserve"> </w:t>
            </w:r>
            <w:r>
              <w:rPr>
                <w:rFonts w:eastAsia="Times New Roman" w:cstheme="minorHAnsi"/>
                <w:b/>
                <w:bCs/>
                <w:noProof/>
              </w:rPr>
              <w:t xml:space="preserve">investeeringukindluse, </w:t>
            </w:r>
            <w:r w:rsidRPr="004E196B">
              <w:rPr>
                <w:rFonts w:eastAsia="Times New Roman" w:cstheme="minorHAnsi"/>
                <w:b/>
                <w:bCs/>
                <w:noProof/>
              </w:rPr>
              <w:t>projekti realiseeritavus</w:t>
            </w:r>
            <w:r>
              <w:rPr>
                <w:rFonts w:eastAsia="Times New Roman" w:cstheme="minorHAnsi"/>
                <w:b/>
                <w:bCs/>
                <w:noProof/>
              </w:rPr>
              <w:t>e</w:t>
            </w:r>
            <w:r w:rsidRPr="004E196B">
              <w:rPr>
                <w:rFonts w:eastAsia="Times New Roman" w:cstheme="minorHAnsi"/>
                <w:b/>
                <w:bCs/>
                <w:noProof/>
              </w:rPr>
              <w:t xml:space="preserve"> ja finantseeritavus</w:t>
            </w:r>
            <w:r>
              <w:rPr>
                <w:rFonts w:eastAsia="Times New Roman" w:cstheme="minorHAnsi"/>
                <w:b/>
                <w:bCs/>
                <w:noProof/>
              </w:rPr>
              <w:t>e</w:t>
            </w:r>
            <w:r w:rsidRPr="004E196B">
              <w:rPr>
                <w:rFonts w:eastAsia="Times New Roman" w:cstheme="minorHAnsi"/>
                <w:b/>
                <w:bCs/>
                <w:noProof/>
              </w:rPr>
              <w:t xml:space="preserve"> ning vähenda</w:t>
            </w:r>
            <w:r>
              <w:rPr>
                <w:rFonts w:eastAsia="Times New Roman" w:cstheme="minorHAnsi"/>
                <w:b/>
                <w:bCs/>
                <w:noProof/>
              </w:rPr>
              <w:t>ks kokkuvõttes</w:t>
            </w:r>
            <w:r w:rsidRPr="004E196B">
              <w:rPr>
                <w:rFonts w:eastAsia="Times New Roman" w:cstheme="minorHAnsi"/>
                <w:b/>
                <w:bCs/>
                <w:noProof/>
              </w:rPr>
              <w:t xml:space="preserve"> ka meetme maksumust; </w:t>
            </w:r>
          </w:p>
          <w:p w14:paraId="76864C0B" w14:textId="77777777" w:rsidR="00B81985" w:rsidRPr="00B81985" w:rsidRDefault="00B81985" w:rsidP="00B81985">
            <w:pPr>
              <w:spacing w:before="120" w:line="276" w:lineRule="auto"/>
              <w:ind w:left="360"/>
              <w:jc w:val="both"/>
              <w:rPr>
                <w:rFonts w:eastAsia="Times New Roman" w:cstheme="minorHAnsi"/>
                <w:b/>
                <w:bCs/>
                <w:i/>
                <w:iCs/>
                <w:noProof/>
              </w:rPr>
            </w:pPr>
            <w:r w:rsidRPr="00B81985">
              <w:rPr>
                <w:rFonts w:eastAsia="Times New Roman" w:cstheme="minorHAnsi"/>
                <w:b/>
                <w:bCs/>
                <w:i/>
                <w:iCs/>
                <w:noProof/>
              </w:rPr>
              <w:t>Meretuulepargi vähempakkumise hinna indekseerimine</w:t>
            </w:r>
          </w:p>
          <w:p w14:paraId="1920481F" w14:textId="77777777" w:rsidR="00B81985" w:rsidRDefault="00B81985" w:rsidP="00B81985">
            <w:pPr>
              <w:spacing w:before="120" w:line="276" w:lineRule="auto"/>
              <w:jc w:val="both"/>
              <w:rPr>
                <w:rFonts w:eastAsia="Times New Roman" w:cstheme="minorHAnsi"/>
                <w:noProof/>
              </w:rPr>
            </w:pPr>
            <w:r w:rsidRPr="003B61D9">
              <w:rPr>
                <w:rFonts w:eastAsia="Times New Roman" w:cstheme="minorHAnsi"/>
                <w:noProof/>
              </w:rPr>
              <w:t>Eelnõu järgne ELTS § 59</w:t>
            </w:r>
            <w:r w:rsidRPr="003B61D9">
              <w:rPr>
                <w:rFonts w:eastAsia="Times New Roman" w:cstheme="minorHAnsi"/>
                <w:noProof/>
                <w:vertAlign w:val="superscript"/>
              </w:rPr>
              <w:t>10</w:t>
            </w:r>
            <w:r w:rsidRPr="003B61D9">
              <w:rPr>
                <w:rFonts w:eastAsia="Times New Roman" w:cstheme="minorHAnsi"/>
                <w:noProof/>
              </w:rPr>
              <w:t xml:space="preserve"> lg 4 sätestab meretuulepargi vähempakkumise tingimusena, et toetust makstakse kahepoolse hinnavahelepingu põhimõttel, mis tähendab, et tootjal võib olla õigus saada toetust, mille suurus kauplemisperioodil on võrdne tootja poolt </w:t>
            </w:r>
            <w:r w:rsidRPr="003B61D9">
              <w:rPr>
                <w:rFonts w:eastAsia="Times New Roman" w:cstheme="minorHAnsi"/>
                <w:noProof/>
                <w:u w:val="single"/>
              </w:rPr>
              <w:t>pakkumuses esitatud hinna</w:t>
            </w:r>
            <w:r w:rsidRPr="003B61D9">
              <w:rPr>
                <w:rFonts w:eastAsia="Times New Roman" w:cstheme="minorHAnsi"/>
                <w:noProof/>
              </w:rPr>
              <w:t xml:space="preserve"> ja elektrienergia turuhinna vahega </w:t>
            </w:r>
            <w:r w:rsidRPr="003B61D9">
              <w:rPr>
                <w:rFonts w:eastAsia="Times New Roman" w:cstheme="minorHAnsi"/>
                <w:noProof/>
              </w:rPr>
              <w:lastRenderedPageBreak/>
              <w:t>toodanguühiku kohta. Eelnõu järgne ELTS § 59</w:t>
            </w:r>
            <w:r w:rsidRPr="003B61D9">
              <w:rPr>
                <w:rFonts w:eastAsia="Times New Roman" w:cstheme="minorHAnsi"/>
                <w:noProof/>
                <w:vertAlign w:val="superscript"/>
              </w:rPr>
              <w:t>10</w:t>
            </w:r>
            <w:r w:rsidRPr="003B61D9">
              <w:rPr>
                <w:rFonts w:eastAsia="Times New Roman" w:cstheme="minorHAnsi"/>
                <w:noProof/>
              </w:rPr>
              <w:t xml:space="preserve"> lg 6 täiendab, et kui turuhind on madalam kui </w:t>
            </w:r>
            <w:r w:rsidRPr="003B61D9">
              <w:rPr>
                <w:rFonts w:eastAsia="Times New Roman" w:cstheme="minorHAnsi"/>
                <w:noProof/>
                <w:u w:val="single"/>
              </w:rPr>
              <w:t>pakkumuses esitatud hind</w:t>
            </w:r>
            <w:r w:rsidRPr="003B61D9">
              <w:rPr>
                <w:rFonts w:eastAsia="Times New Roman" w:cstheme="minorHAnsi"/>
                <w:noProof/>
              </w:rPr>
              <w:t xml:space="preserve">, kuid mitte negatiivne, tasutakse hinnavahe kuni toetuse ülemmäära ulatuses toetusena tootjale. Kui turuhind on kõrgem kui </w:t>
            </w:r>
            <w:r w:rsidRPr="003B61D9">
              <w:rPr>
                <w:rFonts w:eastAsia="Times New Roman" w:cstheme="minorHAnsi"/>
                <w:noProof/>
                <w:u w:val="single"/>
              </w:rPr>
              <w:t>pakkumuses esitatud hind</w:t>
            </w:r>
            <w:r w:rsidRPr="003B61D9">
              <w:rPr>
                <w:rFonts w:eastAsia="Times New Roman" w:cstheme="minorHAnsi"/>
                <w:noProof/>
              </w:rPr>
              <w:t>, tasub tootja hinnavahe vähempakkumise läbiviijale. Kui turuhind on negatiivne, siis tootjale toetust ei maksta.</w:t>
            </w:r>
          </w:p>
          <w:p w14:paraId="067B8623" w14:textId="77777777" w:rsidR="00B81985" w:rsidRPr="0012590D" w:rsidRDefault="00B81985" w:rsidP="00B81985">
            <w:pPr>
              <w:spacing w:before="120" w:line="276" w:lineRule="auto"/>
              <w:jc w:val="both"/>
              <w:rPr>
                <w:rFonts w:eastAsia="Times New Roman" w:cstheme="minorHAnsi"/>
                <w:noProof/>
              </w:rPr>
            </w:pPr>
            <w:r w:rsidRPr="003B61D9">
              <w:rPr>
                <w:rFonts w:eastAsia="Times New Roman" w:cstheme="minorHAnsi"/>
                <w:noProof/>
              </w:rPr>
              <w:t xml:space="preserve">Leiame, et meretuulepargi vähempakkumise puhul peab pakkumuses esitatud hind </w:t>
            </w:r>
            <w:r w:rsidRPr="003B61D9">
              <w:rPr>
                <w:rFonts w:eastAsia="Times New Roman" w:cstheme="minorHAnsi"/>
                <w:i/>
                <w:iCs/>
                <w:noProof/>
              </w:rPr>
              <w:t>(täitmishind/strike price)</w:t>
            </w:r>
            <w:r w:rsidRPr="003B61D9">
              <w:rPr>
                <w:rFonts w:eastAsia="Times New Roman" w:cstheme="minorHAnsi"/>
                <w:noProof/>
              </w:rPr>
              <w:t xml:space="preserve"> olema skeemi kehtivusperioodi lõpuni indekseeritav euroala tarbijahinnaindeksiga. Meretuulepargi püsivad sisendkulud (opereerimis- ja hoolduslepingud) on samuti turupraktikana inflatsiooniga indekseeritud. Seega on asjakohane ja isegi ainumõeldav, et tootmise alustamisest alates 20 aastat kestva hinnavahelepingu järgne </w:t>
            </w:r>
            <w:r w:rsidRPr="003B61D9">
              <w:rPr>
                <w:rFonts w:eastAsia="Times New Roman" w:cstheme="minorHAnsi"/>
                <w:i/>
                <w:iCs/>
                <w:noProof/>
              </w:rPr>
              <w:t>strike price</w:t>
            </w:r>
            <w:r w:rsidRPr="003B61D9">
              <w:rPr>
                <w:rFonts w:eastAsia="Times New Roman" w:cstheme="minorHAnsi"/>
                <w:noProof/>
              </w:rPr>
              <w:t xml:space="preserve"> on indekseeritav. Vastasel juhul ei tagaks meede investeeringukindlust. Teisisõnu ei oleks piisavat rahavoogude kindlust, et projekt oleks finantseeritav ja realiseeritav hinnagarantii toel, mis ongi ju vähempakkumise eesmärk. Samal ajal mõjutab inflatsioon/tarbijahinnaindeks muu hulgas ka elektrienergia turuhinda, mistõttu ei tähenda indekseerimine automaatselt, et kogukulu riigile/elektrienergia tarbijatele proportsionaalselt suureneks. Samuti viivad kõikvõimalikud riskid vähempakkumise </w:t>
            </w:r>
            <w:r w:rsidRPr="003B61D9">
              <w:rPr>
                <w:rFonts w:eastAsia="Times New Roman" w:cstheme="minorHAnsi"/>
                <w:i/>
                <w:iCs/>
                <w:noProof/>
              </w:rPr>
              <w:t>strike price</w:t>
            </w:r>
            <w:r w:rsidRPr="003B61D9">
              <w:rPr>
                <w:rFonts w:eastAsia="Times New Roman" w:cstheme="minorHAnsi"/>
                <w:noProof/>
              </w:rPr>
              <w:t xml:space="preserve">’i kõrgemale, mis tõstab ka meetme kogukulu </w:t>
            </w:r>
            <w:r>
              <w:rPr>
                <w:rFonts w:eastAsia="Times New Roman" w:cstheme="minorHAnsi"/>
                <w:noProof/>
              </w:rPr>
              <w:t xml:space="preserve">- </w:t>
            </w:r>
            <w:r w:rsidRPr="003B61D9">
              <w:rPr>
                <w:rFonts w:eastAsia="Times New Roman" w:cstheme="minorHAnsi"/>
                <w:noProof/>
              </w:rPr>
              <w:t>ehk teispidi</w:t>
            </w:r>
            <w:r>
              <w:rPr>
                <w:rFonts w:eastAsia="Times New Roman" w:cstheme="minorHAnsi"/>
                <w:noProof/>
              </w:rPr>
              <w:t xml:space="preserve">, </w:t>
            </w:r>
            <w:r w:rsidRPr="003B61D9">
              <w:rPr>
                <w:rFonts w:eastAsia="Times New Roman" w:cstheme="minorHAnsi"/>
                <w:noProof/>
              </w:rPr>
              <w:t xml:space="preserve">indekseerimine vähendab riskitaset, muudab projekti finantseerijatele atraktiivsemaks, toob </w:t>
            </w:r>
            <w:r w:rsidRPr="003B61D9">
              <w:rPr>
                <w:rFonts w:eastAsia="Times New Roman" w:cstheme="minorHAnsi"/>
                <w:i/>
                <w:iCs/>
                <w:noProof/>
              </w:rPr>
              <w:t>strike price</w:t>
            </w:r>
            <w:r w:rsidRPr="003B61D9">
              <w:rPr>
                <w:rFonts w:eastAsia="Times New Roman" w:cstheme="minorHAnsi"/>
                <w:noProof/>
              </w:rPr>
              <w:t>’i alla ning vähendab nii omakorda meetme maksumust.</w:t>
            </w:r>
            <w:r>
              <w:rPr>
                <w:rFonts w:eastAsia="Times New Roman" w:cstheme="minorHAnsi"/>
                <w:noProof/>
              </w:rPr>
              <w:t xml:space="preserve"> </w:t>
            </w:r>
          </w:p>
          <w:p w14:paraId="4BD59B05" w14:textId="77777777" w:rsidR="00B81985" w:rsidRDefault="00B81985" w:rsidP="00B81985">
            <w:pPr>
              <w:spacing w:before="120" w:line="276" w:lineRule="auto"/>
              <w:jc w:val="both"/>
              <w:rPr>
                <w:rFonts w:eastAsia="Times New Roman" w:cstheme="minorHAnsi"/>
                <w:noProof/>
              </w:rPr>
            </w:pPr>
            <w:r w:rsidRPr="00786BCB">
              <w:rPr>
                <w:rFonts w:eastAsia="Times New Roman" w:cstheme="minorHAnsi"/>
                <w:noProof/>
              </w:rPr>
              <w:t>Meretuulepargi vähempakkumise jaoks antava riigiabiloa alusteks olevad Euroopa Komisjoni teatis „Kliima-, keskkonnakaitse- ja energiaalase riigiabi suunised alates aastast 2022“ (2022/C 80/01) (</w:t>
            </w:r>
            <w:r w:rsidRPr="00786BCB">
              <w:rPr>
                <w:rFonts w:eastAsia="Times New Roman" w:cstheme="minorHAnsi"/>
                <w:b/>
                <w:bCs/>
                <w:noProof/>
              </w:rPr>
              <w:t>„suunised“</w:t>
            </w:r>
            <w:r w:rsidRPr="00786BCB">
              <w:rPr>
                <w:rFonts w:eastAsia="Times New Roman" w:cstheme="minorHAnsi"/>
                <w:noProof/>
              </w:rPr>
              <w:t xml:space="preserve">) ega ka Euroopa Komisjoni teatis </w:t>
            </w:r>
            <w:r w:rsidRPr="00786BCB">
              <w:rPr>
                <w:rFonts w:eastAsia="Times New Roman" w:cstheme="minorHAnsi"/>
                <w:i/>
                <w:iCs/>
                <w:noProof/>
              </w:rPr>
              <w:t>„Riigiabimeetmete ajutine kriisi- ja üleminekuraamistik majanduse toetamiseks pärast Venemaa kallaletungi Ukrainale“</w:t>
            </w:r>
            <w:r w:rsidRPr="00786BCB">
              <w:rPr>
                <w:rFonts w:eastAsia="Times New Roman" w:cstheme="minorHAnsi"/>
                <w:noProof/>
              </w:rPr>
              <w:t xml:space="preserve"> (2023/C 101/03) (</w:t>
            </w:r>
            <w:r w:rsidRPr="00786BCB">
              <w:rPr>
                <w:rFonts w:eastAsia="Times New Roman" w:cstheme="minorHAnsi"/>
                <w:b/>
                <w:bCs/>
                <w:noProof/>
              </w:rPr>
              <w:t>„TCTF“</w:t>
            </w:r>
            <w:r w:rsidRPr="00786BCB">
              <w:rPr>
                <w:rFonts w:eastAsia="Times New Roman" w:cstheme="minorHAnsi"/>
                <w:noProof/>
              </w:rPr>
              <w:t>) niisugust indekseerimist ei keela. Abi peab olema proportsionaalne (mida üldiselt juba tagab avatud vähempakkumismenetlus) ning eelarve prognoositav (mida ta on ka indekseerimise korral).</w:t>
            </w:r>
            <w:r w:rsidRPr="00570771">
              <w:rPr>
                <w:rFonts w:eastAsia="Times New Roman" w:cstheme="minorHAnsi"/>
                <w:noProof/>
              </w:rPr>
              <w:t xml:space="preserve"> </w:t>
            </w:r>
          </w:p>
          <w:p w14:paraId="5CA8F265" w14:textId="77777777" w:rsidR="00B81985" w:rsidRDefault="00B81985" w:rsidP="00B81985">
            <w:pPr>
              <w:spacing w:before="120" w:line="276" w:lineRule="auto"/>
              <w:jc w:val="both"/>
              <w:rPr>
                <w:rFonts w:eastAsia="Times New Roman" w:cstheme="minorHAnsi"/>
                <w:noProof/>
              </w:rPr>
            </w:pPr>
            <w:r w:rsidRPr="00786BCB">
              <w:rPr>
                <w:rFonts w:eastAsia="Times New Roman" w:cstheme="minorHAnsi"/>
                <w:noProof/>
              </w:rPr>
              <w:t xml:space="preserve">Meretuuleenergia vähempakkumiste indekseerimine on täna Euroopas teadaolevat ka valdav praktika. Samuti, näiteks üheks Ühendkuningriigi 2023. aasta taastuvenergia vähempakkumise </w:t>
            </w:r>
            <w:r w:rsidRPr="00786BCB">
              <w:rPr>
                <w:rFonts w:eastAsia="Times New Roman" w:cstheme="minorHAnsi"/>
                <w:i/>
                <w:iCs/>
                <w:noProof/>
              </w:rPr>
              <w:t>(Allocation Round 5)</w:t>
            </w:r>
            <w:r w:rsidRPr="00786BCB">
              <w:rPr>
                <w:rFonts w:eastAsia="Times New Roman" w:cstheme="minorHAnsi"/>
                <w:noProof/>
              </w:rPr>
              <w:t xml:space="preserve"> </w:t>
            </w:r>
            <w:r>
              <w:rPr>
                <w:rFonts w:eastAsia="Times New Roman" w:cstheme="minorHAnsi"/>
                <w:noProof/>
              </w:rPr>
              <w:t>nurjumise</w:t>
            </w:r>
            <w:r w:rsidRPr="00786BCB">
              <w:rPr>
                <w:rFonts w:eastAsia="Times New Roman" w:cstheme="minorHAnsi"/>
                <w:noProof/>
              </w:rPr>
              <w:t xml:space="preserve"> </w:t>
            </w:r>
            <w:r w:rsidRPr="00786BCB">
              <w:rPr>
                <w:rFonts w:eastAsia="Times New Roman" w:cstheme="minorHAnsi"/>
                <w:i/>
                <w:iCs/>
                <w:noProof/>
              </w:rPr>
              <w:t>(meretuuleenergia pakkumiste puudumise)</w:t>
            </w:r>
            <w:r w:rsidRPr="00786BCB">
              <w:rPr>
                <w:rFonts w:eastAsia="Times New Roman" w:cstheme="minorHAnsi"/>
                <w:noProof/>
              </w:rPr>
              <w:t xml:space="preserve"> põhjuseks peetaksegi tõika, et ühelt poolt kehtestati juba vähempakkumise väljakuulutamisel ebareaalselt madal hinnalagi, aga teisalt ei arvestanud vähempakkumise tingimused ka projektsioonis kasvavate sisendkuludega (ei näinud ette indekseerimist).</w:t>
            </w:r>
            <w:r>
              <w:rPr>
                <w:rFonts w:eastAsia="Times New Roman" w:cstheme="minorHAnsi"/>
                <w:noProof/>
              </w:rPr>
              <w:t xml:space="preserve"> Järgmises vähempakkumise voorus </w:t>
            </w:r>
            <w:r w:rsidRPr="0049254F">
              <w:rPr>
                <w:rFonts w:eastAsia="Times New Roman" w:cstheme="minorHAnsi"/>
                <w:i/>
                <w:iCs/>
                <w:noProof/>
              </w:rPr>
              <w:t xml:space="preserve">(Allocation Round 6) </w:t>
            </w:r>
            <w:r>
              <w:rPr>
                <w:rFonts w:eastAsia="Times New Roman" w:cstheme="minorHAnsi"/>
                <w:noProof/>
              </w:rPr>
              <w:t>veast õpiti.</w:t>
            </w:r>
            <w:r>
              <w:rPr>
                <w:rStyle w:val="Allmrkuseviide"/>
                <w:rFonts w:eastAsia="Times New Roman" w:cstheme="minorHAnsi"/>
                <w:noProof/>
              </w:rPr>
              <w:footnoteReference w:id="3"/>
            </w:r>
          </w:p>
          <w:p w14:paraId="1B046688" w14:textId="1280E711" w:rsidR="000A69C8" w:rsidRPr="000A69C8" w:rsidRDefault="00B81985" w:rsidP="00B81985">
            <w:pPr>
              <w:spacing w:before="120" w:line="276" w:lineRule="auto"/>
              <w:jc w:val="both"/>
              <w:rPr>
                <w:rFonts w:eastAsia="Times New Roman" w:cstheme="minorHAnsi"/>
                <w:b/>
                <w:bCs/>
                <w:noProof/>
              </w:rPr>
            </w:pPr>
            <w:r w:rsidRPr="006E4305">
              <w:rPr>
                <w:rFonts w:eastAsia="Times New Roman" w:cstheme="minorHAnsi"/>
                <w:b/>
                <w:bCs/>
                <w:noProof/>
              </w:rPr>
              <w:t>Seega palume eelnõu järgset ELTS § 59</w:t>
            </w:r>
            <w:r w:rsidRPr="006E4305">
              <w:rPr>
                <w:rFonts w:eastAsia="Times New Roman" w:cstheme="minorHAnsi"/>
                <w:b/>
                <w:bCs/>
                <w:noProof/>
                <w:vertAlign w:val="superscript"/>
              </w:rPr>
              <w:t>10</w:t>
            </w:r>
            <w:r w:rsidRPr="006E4305">
              <w:rPr>
                <w:rFonts w:eastAsia="Times New Roman" w:cstheme="minorHAnsi"/>
                <w:b/>
                <w:bCs/>
                <w:noProof/>
              </w:rPr>
              <w:t xml:space="preserve"> täpsustada nii, et meretuulepargi vähempakkumise pakkumuses esitatud hind indekseerub hinnavahelepingu kehtivuse lõpuni vastavalt euroala tarbijahinnaindeksile.</w:t>
            </w:r>
            <w:r w:rsidRPr="00217FF1">
              <w:rPr>
                <w:rFonts w:eastAsia="Times New Roman" w:cstheme="minorHAnsi"/>
                <w:b/>
                <w:bCs/>
                <w:noProof/>
              </w:rPr>
              <w:t xml:space="preserve">   </w:t>
            </w:r>
          </w:p>
          <w:p w14:paraId="77333B77" w14:textId="77777777" w:rsidR="00FC2B8F" w:rsidRPr="008A15AF" w:rsidRDefault="00FC2B8F" w:rsidP="006D6C6F">
            <w:pPr>
              <w:jc w:val="both"/>
              <w:rPr>
                <w:rFonts w:ascii="Times New Roman" w:hAnsi="Times New Roman" w:cs="Times New Roman"/>
                <w:b/>
                <w:bCs/>
                <w:sz w:val="24"/>
                <w:szCs w:val="24"/>
              </w:rPr>
            </w:pPr>
          </w:p>
        </w:tc>
        <w:tc>
          <w:tcPr>
            <w:tcW w:w="3282" w:type="dxa"/>
          </w:tcPr>
          <w:p w14:paraId="6D1A9BC6" w14:textId="7E480B72" w:rsidR="00FC2B8F" w:rsidRPr="00797EDC" w:rsidRDefault="00886E4C"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Mittearvestatud</w:t>
            </w:r>
          </w:p>
          <w:p w14:paraId="2C1EF7EA" w14:textId="53DCBE68" w:rsidR="00081624" w:rsidRPr="001A3513" w:rsidRDefault="0071588E" w:rsidP="001A3513">
            <w:pPr>
              <w:jc w:val="both"/>
              <w:rPr>
                <w:rFonts w:ascii="Times New Roman" w:eastAsia="Calibri" w:hAnsi="Times New Roman" w:cs="Times New Roman"/>
                <w:sz w:val="24"/>
                <w:szCs w:val="24"/>
              </w:rPr>
            </w:pPr>
            <w:r>
              <w:rPr>
                <w:rFonts w:ascii="Times New Roman" w:eastAsia="Calibri" w:hAnsi="Times New Roman" w:cs="Times New Roman"/>
                <w:sz w:val="24"/>
                <w:szCs w:val="24"/>
              </w:rPr>
              <w:t>Arenduste võrdse kohtlemise põhimõttest lähtuvalt ei ole selline erikohtlemine põhjendatud.</w:t>
            </w:r>
          </w:p>
          <w:p w14:paraId="5962D490" w14:textId="77777777" w:rsidR="00E8009E" w:rsidRPr="00797EDC" w:rsidRDefault="00E8009E" w:rsidP="1FD60553">
            <w:pPr>
              <w:pStyle w:val="Loendilik"/>
              <w:ind w:left="-23"/>
              <w:jc w:val="both"/>
              <w:rPr>
                <w:rFonts w:ascii="Times New Roman" w:eastAsia="Calibri" w:hAnsi="Times New Roman" w:cs="Times New Roman"/>
                <w:sz w:val="24"/>
                <w:szCs w:val="24"/>
              </w:rPr>
            </w:pPr>
          </w:p>
          <w:p w14:paraId="037D36CD" w14:textId="55618B74" w:rsidR="00886E4C" w:rsidRPr="00797EDC" w:rsidRDefault="00886E4C" w:rsidP="1FD6055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Täitmishinna indekseerimine muudab vähempakkumise</w:t>
            </w:r>
            <w:r w:rsidR="00270A7A" w:rsidRPr="00797EDC">
              <w:rPr>
                <w:rFonts w:ascii="Times New Roman" w:eastAsia="Calibri" w:hAnsi="Times New Roman" w:cs="Times New Roman"/>
                <w:sz w:val="24"/>
                <w:szCs w:val="24"/>
              </w:rPr>
              <w:t xml:space="preserve"> meetme</w:t>
            </w:r>
            <w:r w:rsidRPr="00797EDC">
              <w:rPr>
                <w:rFonts w:ascii="Times New Roman" w:eastAsia="Calibri" w:hAnsi="Times New Roman" w:cs="Times New Roman"/>
                <w:sz w:val="24"/>
                <w:szCs w:val="24"/>
              </w:rPr>
              <w:t xml:space="preserve"> kulu </w:t>
            </w:r>
            <w:r w:rsidR="00535A75" w:rsidRPr="00797EDC">
              <w:rPr>
                <w:rFonts w:ascii="Times New Roman" w:eastAsia="Calibri" w:hAnsi="Times New Roman" w:cs="Times New Roman"/>
                <w:sz w:val="24"/>
                <w:szCs w:val="24"/>
              </w:rPr>
              <w:t xml:space="preserve">projekti eluajal </w:t>
            </w:r>
            <w:r w:rsidR="00DC008F" w:rsidRPr="00797EDC">
              <w:rPr>
                <w:rFonts w:ascii="Times New Roman" w:eastAsia="Calibri" w:hAnsi="Times New Roman" w:cs="Times New Roman"/>
                <w:sz w:val="24"/>
                <w:szCs w:val="24"/>
              </w:rPr>
              <w:t>raskesti prognoositavaks.</w:t>
            </w:r>
            <w:r w:rsidR="6A647726" w:rsidRPr="00797EDC">
              <w:rPr>
                <w:rFonts w:ascii="Times New Roman" w:eastAsia="Calibri" w:hAnsi="Times New Roman" w:cs="Times New Roman"/>
                <w:sz w:val="24"/>
                <w:szCs w:val="24"/>
              </w:rPr>
              <w:t xml:space="preserve"> Kuna pakkumuse hinnale ei ole seatud lage, siis saavad pakkujad </w:t>
            </w:r>
            <w:r w:rsidR="6A647726" w:rsidRPr="00797EDC">
              <w:rPr>
                <w:rFonts w:ascii="Times New Roman" w:eastAsia="Calibri" w:hAnsi="Times New Roman" w:cs="Times New Roman"/>
                <w:sz w:val="24"/>
                <w:szCs w:val="24"/>
              </w:rPr>
              <w:lastRenderedPageBreak/>
              <w:t>vastava kulu</w:t>
            </w:r>
            <w:r w:rsidR="261F2D82" w:rsidRPr="00797EDC">
              <w:rPr>
                <w:rFonts w:ascii="Times New Roman" w:eastAsia="Calibri" w:hAnsi="Times New Roman" w:cs="Times New Roman"/>
                <w:sz w:val="24"/>
                <w:szCs w:val="24"/>
              </w:rPr>
              <w:t xml:space="preserve"> pakkumuse hinna sisse arvestada.</w:t>
            </w:r>
          </w:p>
        </w:tc>
      </w:tr>
      <w:tr w:rsidR="00B81985" w:rsidRPr="005C0F32" w14:paraId="0C33C7E6" w14:textId="77777777" w:rsidTr="3199B330">
        <w:trPr>
          <w:trHeight w:val="300"/>
        </w:trPr>
        <w:tc>
          <w:tcPr>
            <w:tcW w:w="10710" w:type="dxa"/>
          </w:tcPr>
          <w:p w14:paraId="6BCEE160" w14:textId="77777777" w:rsidR="00B81985" w:rsidRDefault="00E5118F" w:rsidP="00B81985">
            <w:pPr>
              <w:spacing w:before="120" w:line="276" w:lineRule="auto"/>
              <w:jc w:val="both"/>
              <w:rPr>
                <w:rFonts w:eastAsia="Times New Roman" w:cstheme="minorHAnsi"/>
                <w:b/>
                <w:bCs/>
                <w:noProof/>
              </w:rPr>
            </w:pPr>
            <w:r w:rsidRPr="004E196B">
              <w:rPr>
                <w:rFonts w:eastAsia="Times New Roman" w:cstheme="minorHAnsi"/>
                <w:b/>
                <w:bCs/>
                <w:noProof/>
              </w:rPr>
              <w:lastRenderedPageBreak/>
              <w:t xml:space="preserve">alustada meretuulepargi vähempakkumise </w:t>
            </w:r>
            <w:r>
              <w:rPr>
                <w:rFonts w:eastAsia="Times New Roman" w:cstheme="minorHAnsi"/>
                <w:b/>
                <w:bCs/>
                <w:noProof/>
              </w:rPr>
              <w:t xml:space="preserve">aastase </w:t>
            </w:r>
            <w:r w:rsidRPr="004E196B">
              <w:rPr>
                <w:rFonts w:eastAsia="Times New Roman" w:cstheme="minorHAnsi"/>
                <w:b/>
                <w:bCs/>
                <w:noProof/>
              </w:rPr>
              <w:t>toetatava elektrienergia koguse arvestust 1. aprillist, kuna madalama meetme kulu huvides on, et toetatava elektrienergia tootmise periood kattuks võimalikult suures mahus kõige madalamate elektrienergia turuhindadega perioodiga;</w:t>
            </w:r>
          </w:p>
          <w:p w14:paraId="1FB56558" w14:textId="77777777" w:rsidR="00BF66B0" w:rsidRPr="00406290" w:rsidRDefault="00BF66B0" w:rsidP="009E3AD5">
            <w:pPr>
              <w:spacing w:before="120" w:line="276" w:lineRule="auto"/>
              <w:jc w:val="both"/>
              <w:rPr>
                <w:rFonts w:eastAsia="Times New Roman" w:cstheme="minorHAnsi"/>
                <w:b/>
                <w:bCs/>
                <w:i/>
                <w:iCs/>
                <w:noProof/>
              </w:rPr>
            </w:pPr>
            <w:r w:rsidRPr="00406290">
              <w:rPr>
                <w:rFonts w:eastAsia="Times New Roman" w:cstheme="minorHAnsi"/>
                <w:b/>
                <w:bCs/>
                <w:i/>
                <w:iCs/>
                <w:noProof/>
              </w:rPr>
              <w:t>Meretuulepargi vähempakkumise elektrienergia koguse arvestusperiood</w:t>
            </w:r>
          </w:p>
          <w:p w14:paraId="0CFD9C8A" w14:textId="77777777" w:rsidR="00BF66B0" w:rsidRDefault="00BF66B0" w:rsidP="00BF66B0">
            <w:pPr>
              <w:spacing w:before="120" w:line="276" w:lineRule="auto"/>
              <w:jc w:val="both"/>
              <w:rPr>
                <w:rFonts w:eastAsia="Times New Roman" w:cstheme="minorHAnsi"/>
                <w:noProof/>
              </w:rPr>
            </w:pPr>
            <w:r w:rsidRPr="00406290">
              <w:rPr>
                <w:rFonts w:eastAsia="Times New Roman" w:cstheme="minorHAnsi"/>
                <w:noProof/>
              </w:rPr>
              <w:t>Eelnõu järgne ELTS § 59</w:t>
            </w:r>
            <w:r w:rsidRPr="00406290">
              <w:rPr>
                <w:rFonts w:eastAsia="Times New Roman" w:cstheme="minorHAnsi"/>
                <w:noProof/>
                <w:vertAlign w:val="superscript"/>
              </w:rPr>
              <w:t>10</w:t>
            </w:r>
            <w:r w:rsidRPr="00406290">
              <w:rPr>
                <w:rFonts w:eastAsia="Times New Roman" w:cstheme="minorHAnsi"/>
                <w:noProof/>
              </w:rPr>
              <w:t xml:space="preserve"> lg 11 sätestab, et ELTS § 59</w:t>
            </w:r>
            <w:r w:rsidRPr="00406290">
              <w:rPr>
                <w:rFonts w:eastAsia="Times New Roman" w:cstheme="minorHAnsi"/>
                <w:noProof/>
                <w:vertAlign w:val="superscript"/>
              </w:rPr>
              <w:t>4</w:t>
            </w:r>
            <w:r w:rsidRPr="00406290">
              <w:rPr>
                <w:rFonts w:eastAsia="Times New Roman" w:cstheme="minorHAnsi"/>
                <w:noProof/>
              </w:rPr>
              <w:t xml:space="preserve"> lg-s 11 nimetatud korralduses (vähempakkumise tulemuste kinnitamine) märgitud aastase toetatava elektrienergia koguse arvestus algab 1. oktoobrist ja lõpeb järgmise kalendriaasta 30. septembril. Toetatava elektrienergia koguse arvestusse kuulub üksnes elektrienergia, mille ulatuses on vähempakkumise läbiviija maksnud toetust.</w:t>
            </w:r>
          </w:p>
          <w:p w14:paraId="786B1D1E" w14:textId="77777777" w:rsidR="00BF66B0" w:rsidRDefault="00BF66B0" w:rsidP="00BF66B0">
            <w:pPr>
              <w:spacing w:before="120" w:line="276" w:lineRule="auto"/>
              <w:jc w:val="both"/>
              <w:rPr>
                <w:rFonts w:eastAsia="Times New Roman" w:cstheme="minorHAnsi"/>
                <w:noProof/>
              </w:rPr>
            </w:pPr>
            <w:r w:rsidRPr="00406290">
              <w:rPr>
                <w:rFonts w:eastAsia="Times New Roman" w:cstheme="minorHAnsi"/>
                <w:noProof/>
              </w:rPr>
              <w:t>Niisugune arvestusperiood on halvim võimalikest. Projekti riskide maandamise, finantseeritavuse ning hinna vaates peab toetatava elektrienergia tootmise periood kattuma võimalikult suures mahus kõige madalamate elektrienergia turuhindadega perioodiga ehk kõige mõistlikum on alustada toetatava elektrienergia koguse arvestust 1. aprillil.</w:t>
            </w:r>
            <w:r>
              <w:rPr>
                <w:rFonts w:eastAsia="Times New Roman" w:cstheme="minorHAnsi"/>
                <w:noProof/>
              </w:rPr>
              <w:t xml:space="preserve"> Niisugune periood võimaldaks pakkumusi teha oluliselt madalama </w:t>
            </w:r>
            <w:r w:rsidRPr="006A64C7">
              <w:rPr>
                <w:rFonts w:eastAsia="Times New Roman" w:cstheme="minorHAnsi"/>
                <w:i/>
                <w:iCs/>
                <w:noProof/>
              </w:rPr>
              <w:t>strike price</w:t>
            </w:r>
            <w:r>
              <w:rPr>
                <w:rFonts w:eastAsia="Times New Roman" w:cstheme="minorHAnsi"/>
                <w:noProof/>
              </w:rPr>
              <w:t>’iga, mis omakorda vähendaks tuntavalt meetme kogukulu.</w:t>
            </w:r>
          </w:p>
          <w:p w14:paraId="7FB3C14C" w14:textId="18EEC04A" w:rsidR="00B81985" w:rsidRPr="00BF66B0" w:rsidRDefault="00BF66B0" w:rsidP="00B81985">
            <w:pPr>
              <w:spacing w:before="120" w:line="276" w:lineRule="auto"/>
              <w:jc w:val="both"/>
              <w:rPr>
                <w:rFonts w:eastAsia="Times New Roman" w:cstheme="minorHAnsi"/>
              </w:rPr>
            </w:pPr>
            <w:r w:rsidRPr="00ED7872">
              <w:rPr>
                <w:rFonts w:eastAsia="Times New Roman" w:cstheme="minorHAnsi"/>
                <w:b/>
                <w:bCs/>
                <w:noProof/>
              </w:rPr>
              <w:t>Seega palume ELTS § 59</w:t>
            </w:r>
            <w:r w:rsidRPr="00ED7872">
              <w:rPr>
                <w:rFonts w:eastAsia="Times New Roman" w:cstheme="minorHAnsi"/>
                <w:b/>
                <w:bCs/>
                <w:noProof/>
                <w:vertAlign w:val="superscript"/>
              </w:rPr>
              <w:t>10</w:t>
            </w:r>
            <w:r w:rsidRPr="00ED7872">
              <w:rPr>
                <w:rFonts w:eastAsia="Times New Roman" w:cstheme="minorHAnsi"/>
                <w:b/>
                <w:bCs/>
                <w:noProof/>
              </w:rPr>
              <w:t xml:space="preserve"> lg-s 11 muuta nii, et aastase toetatava elektrienergia koguse arvestus algaks 1. aprillist ja lõppeks järgmise kalendriaasta 31. märtsil.</w:t>
            </w:r>
          </w:p>
        </w:tc>
        <w:tc>
          <w:tcPr>
            <w:tcW w:w="3282" w:type="dxa"/>
          </w:tcPr>
          <w:p w14:paraId="0075EE31" w14:textId="757502EE" w:rsidR="00B81985" w:rsidRPr="00797EDC" w:rsidRDefault="00AA618E"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Mittearvestatud</w:t>
            </w:r>
          </w:p>
          <w:p w14:paraId="5C8D1318" w14:textId="77777777" w:rsidR="005149E8" w:rsidRPr="00797EDC" w:rsidRDefault="005149E8" w:rsidP="1FD60553">
            <w:pPr>
              <w:pStyle w:val="Loendilik"/>
              <w:ind w:left="-23"/>
              <w:jc w:val="both"/>
              <w:rPr>
                <w:rFonts w:ascii="Times New Roman" w:eastAsia="Calibri" w:hAnsi="Times New Roman" w:cs="Times New Roman"/>
                <w:b/>
                <w:bCs/>
                <w:sz w:val="24"/>
                <w:szCs w:val="24"/>
              </w:rPr>
            </w:pPr>
          </w:p>
          <w:p w14:paraId="2E0B8D2D" w14:textId="594260C2" w:rsidR="00AA618E" w:rsidRPr="00797EDC" w:rsidRDefault="006C15E4" w:rsidP="1FD6055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Meede on kavandatud </w:t>
            </w:r>
            <w:r w:rsidR="00F35B61">
              <w:rPr>
                <w:rFonts w:ascii="Times New Roman" w:eastAsia="Calibri" w:hAnsi="Times New Roman" w:cs="Times New Roman"/>
                <w:sz w:val="24"/>
                <w:szCs w:val="24"/>
              </w:rPr>
              <w:t>viisil</w:t>
            </w:r>
            <w:r w:rsidRPr="00797EDC">
              <w:rPr>
                <w:rFonts w:ascii="Times New Roman" w:eastAsia="Calibri" w:hAnsi="Times New Roman" w:cs="Times New Roman"/>
                <w:sz w:val="24"/>
                <w:szCs w:val="24"/>
              </w:rPr>
              <w:t xml:space="preserve">, et toetust jätkub igaks kauplemisperioodi hetkeks aastas, kuid riigi jaoks on oluline </w:t>
            </w:r>
            <w:r w:rsidR="00847C98" w:rsidRPr="00797EDC">
              <w:rPr>
                <w:rFonts w:ascii="Times New Roman" w:eastAsia="Calibri" w:hAnsi="Times New Roman" w:cs="Times New Roman"/>
                <w:sz w:val="24"/>
                <w:szCs w:val="24"/>
              </w:rPr>
              <w:t>projektide valmimine enne kalendriaasta lõppu ning intensiivse kütteperioodi algust.</w:t>
            </w:r>
          </w:p>
        </w:tc>
      </w:tr>
      <w:tr w:rsidR="00BF66B0" w:rsidRPr="005C0F32" w14:paraId="2B022CA0" w14:textId="77777777" w:rsidTr="3199B330">
        <w:trPr>
          <w:trHeight w:val="300"/>
        </w:trPr>
        <w:tc>
          <w:tcPr>
            <w:tcW w:w="10710" w:type="dxa"/>
          </w:tcPr>
          <w:p w14:paraId="75A8DCEC" w14:textId="77777777" w:rsidR="0026254F" w:rsidRDefault="0026254F" w:rsidP="0026254F">
            <w:pPr>
              <w:spacing w:before="120" w:line="276" w:lineRule="auto"/>
              <w:jc w:val="both"/>
              <w:rPr>
                <w:rFonts w:eastAsia="Times New Roman" w:cstheme="minorHAnsi"/>
                <w:noProof/>
              </w:rPr>
            </w:pPr>
            <w:r w:rsidRPr="004E196B">
              <w:rPr>
                <w:rFonts w:eastAsia="Times New Roman" w:cstheme="minorHAnsi"/>
                <w:b/>
                <w:bCs/>
                <w:noProof/>
              </w:rPr>
              <w:t xml:space="preserve">korrigeerida regulatsiooni nii, et vähempakkumistel osalemisel ei tekiks arendajale lühikeses ajaaknas topeltkulu </w:t>
            </w:r>
            <w:r>
              <w:rPr>
                <w:rFonts w:eastAsia="Times New Roman" w:cstheme="minorHAnsi"/>
                <w:b/>
                <w:bCs/>
                <w:noProof/>
              </w:rPr>
              <w:t xml:space="preserve">ja risk </w:t>
            </w:r>
            <w:r w:rsidRPr="004E196B">
              <w:rPr>
                <w:rFonts w:eastAsia="Times New Roman" w:cstheme="minorHAnsi"/>
                <w:b/>
                <w:bCs/>
                <w:noProof/>
              </w:rPr>
              <w:t>vähempakkumise tagatise ning fikseeritud liitumistasu näol</w:t>
            </w:r>
            <w:r>
              <w:rPr>
                <w:rFonts w:eastAsia="Times New Roman" w:cstheme="minorHAnsi"/>
                <w:b/>
                <w:bCs/>
                <w:noProof/>
              </w:rPr>
              <w:t>. V</w:t>
            </w:r>
            <w:r w:rsidRPr="004E196B">
              <w:rPr>
                <w:rFonts w:eastAsia="Times New Roman" w:cstheme="minorHAnsi"/>
                <w:b/>
                <w:bCs/>
                <w:noProof/>
              </w:rPr>
              <w:t xml:space="preserve">õimaluseks on kas </w:t>
            </w:r>
            <w:r>
              <w:rPr>
                <w:rFonts w:eastAsia="Times New Roman" w:cstheme="minorHAnsi"/>
                <w:b/>
                <w:bCs/>
                <w:noProof/>
              </w:rPr>
              <w:t xml:space="preserve">eelnõust </w:t>
            </w:r>
            <w:r w:rsidRPr="004E196B">
              <w:rPr>
                <w:rFonts w:eastAsia="Times New Roman" w:cstheme="minorHAnsi"/>
                <w:b/>
                <w:bCs/>
                <w:noProof/>
              </w:rPr>
              <w:t xml:space="preserve">liitumislepingu sõlmimise kohustusliku tähtaja </w:t>
            </w:r>
            <w:r>
              <w:rPr>
                <w:rFonts w:eastAsia="Times New Roman" w:cstheme="minorHAnsi"/>
                <w:b/>
                <w:bCs/>
                <w:noProof/>
              </w:rPr>
              <w:t>eemaldamine</w:t>
            </w:r>
            <w:r w:rsidRPr="004E196B">
              <w:rPr>
                <w:rFonts w:eastAsia="Times New Roman" w:cstheme="minorHAnsi"/>
                <w:b/>
                <w:bCs/>
                <w:noProof/>
              </w:rPr>
              <w:t>, fikseeritud liitumistasu osamaksetena tasumine või vähemalt maismaatuulepargi puhul liitumislepingu sõlmimise tähtaja pikendamine 18 kuuni vähempakkumise tulemuste kinnitamisest arvates</w:t>
            </w:r>
            <w:r>
              <w:rPr>
                <w:rFonts w:eastAsia="Times New Roman" w:cstheme="minorHAnsi"/>
                <w:b/>
                <w:bCs/>
                <w:noProof/>
              </w:rPr>
              <w:t xml:space="preserve"> (praegu eelnõus 6 kuud)</w:t>
            </w:r>
            <w:r w:rsidRPr="004E196B">
              <w:rPr>
                <w:rFonts w:eastAsia="Times New Roman" w:cstheme="minorHAnsi"/>
                <w:b/>
                <w:bCs/>
                <w:noProof/>
              </w:rPr>
              <w:t>;</w:t>
            </w:r>
            <w:r w:rsidRPr="00841C9F">
              <w:rPr>
                <w:rFonts w:eastAsia="Times New Roman" w:cstheme="minorHAnsi"/>
                <w:noProof/>
              </w:rPr>
              <w:t xml:space="preserve"> </w:t>
            </w:r>
          </w:p>
          <w:p w14:paraId="57376D6D" w14:textId="7D6A1628" w:rsidR="00D61522" w:rsidRPr="00ED7872" w:rsidRDefault="00D61522" w:rsidP="009E3AD5">
            <w:pPr>
              <w:spacing w:before="120" w:line="276" w:lineRule="auto"/>
              <w:jc w:val="both"/>
              <w:rPr>
                <w:rFonts w:eastAsia="Times New Roman" w:cstheme="minorHAnsi"/>
                <w:b/>
                <w:bCs/>
                <w:i/>
                <w:iCs/>
                <w:noProof/>
              </w:rPr>
            </w:pPr>
            <w:r w:rsidRPr="00ED7872">
              <w:rPr>
                <w:rFonts w:eastAsia="Times New Roman" w:cstheme="minorHAnsi"/>
                <w:b/>
                <w:bCs/>
                <w:i/>
                <w:iCs/>
                <w:noProof/>
              </w:rPr>
              <w:t>Vähempakkumise tagatise ja liitumislepingu sõlmimise topeltkulu</w:t>
            </w:r>
          </w:p>
          <w:p w14:paraId="046DC49F" w14:textId="77777777" w:rsidR="00D61522" w:rsidRDefault="00D61522" w:rsidP="00D61522">
            <w:pPr>
              <w:spacing w:before="120" w:line="276" w:lineRule="auto"/>
              <w:jc w:val="both"/>
              <w:rPr>
                <w:rFonts w:eastAsia="Times New Roman" w:cstheme="minorHAnsi"/>
                <w:noProof/>
              </w:rPr>
            </w:pPr>
            <w:r w:rsidRPr="00ED7872">
              <w:rPr>
                <w:rFonts w:eastAsia="Times New Roman" w:cstheme="minorHAnsi"/>
                <w:noProof/>
              </w:rPr>
              <w:t>Eelnõu järgse ELTS § 59</w:t>
            </w:r>
            <w:r w:rsidRPr="00ED7872">
              <w:rPr>
                <w:rFonts w:eastAsia="Times New Roman" w:cstheme="minorHAnsi"/>
                <w:noProof/>
                <w:vertAlign w:val="superscript"/>
              </w:rPr>
              <w:t xml:space="preserve">4 </w:t>
            </w:r>
            <w:r w:rsidRPr="00ED7872">
              <w:rPr>
                <w:rFonts w:eastAsia="Times New Roman" w:cstheme="minorHAnsi"/>
                <w:noProof/>
              </w:rPr>
              <w:t>lg 12 p-d 3 ja 4 sätestaks, et Vabariigi Valitsusel on õigus tunnistada ELTS § 59</w:t>
            </w:r>
            <w:r w:rsidRPr="00ED7872">
              <w:rPr>
                <w:rFonts w:eastAsia="Times New Roman" w:cstheme="minorHAnsi"/>
                <w:noProof/>
                <w:vertAlign w:val="superscript"/>
              </w:rPr>
              <w:t>4</w:t>
            </w:r>
            <w:r w:rsidRPr="00ED7872">
              <w:rPr>
                <w:rFonts w:eastAsia="Times New Roman" w:cstheme="minorHAnsi"/>
                <w:noProof/>
              </w:rPr>
              <w:t xml:space="preserve"> lg-s 11 nimetatud korraldus täies mahus või osaliselt kehtetuks, kui esineb muu hulgas vähemalt üks järgmistest tingimustest: i) ELTS § 59</w:t>
            </w:r>
            <w:r w:rsidRPr="00ED7872">
              <w:rPr>
                <w:rFonts w:eastAsia="Times New Roman" w:cstheme="minorHAnsi"/>
                <w:noProof/>
                <w:vertAlign w:val="superscript"/>
              </w:rPr>
              <w:t>4</w:t>
            </w:r>
            <w:r w:rsidRPr="00ED7872">
              <w:rPr>
                <w:rFonts w:eastAsia="Times New Roman" w:cstheme="minorHAnsi"/>
                <w:noProof/>
              </w:rPr>
              <w:t xml:space="preserve"> lg 5</w:t>
            </w:r>
            <w:r w:rsidRPr="00ED7872">
              <w:rPr>
                <w:rFonts w:eastAsia="Times New Roman" w:cstheme="minorHAnsi"/>
                <w:noProof/>
                <w:vertAlign w:val="superscript"/>
              </w:rPr>
              <w:t>2</w:t>
            </w:r>
            <w:r w:rsidRPr="00ED7872">
              <w:rPr>
                <w:rFonts w:eastAsia="Times New Roman" w:cstheme="minorHAnsi"/>
                <w:noProof/>
              </w:rPr>
              <w:t xml:space="preserve"> p 4 alusel korraldatud (maismaatuulepargi) vähempakkumise võitja ei ole </w:t>
            </w:r>
            <w:r>
              <w:rPr>
                <w:rFonts w:eastAsia="Times New Roman" w:cstheme="minorHAnsi"/>
                <w:noProof/>
              </w:rPr>
              <w:t>6</w:t>
            </w:r>
            <w:r w:rsidRPr="00ED7872">
              <w:rPr>
                <w:rFonts w:eastAsia="Times New Roman" w:cstheme="minorHAnsi"/>
                <w:noProof/>
              </w:rPr>
              <w:t xml:space="preserve"> kuu jooksul pärast ELTS § 59</w:t>
            </w:r>
            <w:r w:rsidRPr="00ED7872">
              <w:rPr>
                <w:rFonts w:eastAsia="Times New Roman" w:cstheme="minorHAnsi"/>
                <w:noProof/>
                <w:vertAlign w:val="superscript"/>
              </w:rPr>
              <w:t>4</w:t>
            </w:r>
            <w:r w:rsidRPr="00ED7872">
              <w:rPr>
                <w:rFonts w:eastAsia="Times New Roman" w:cstheme="minorHAnsi"/>
                <w:noProof/>
              </w:rPr>
              <w:t xml:space="preserve"> lg-s 11 nimetatud korralduse vastuvõtmist tootmisseadme võrku ühendamiseks sõlminud liitumislepingut</w:t>
            </w:r>
            <w:r w:rsidRPr="00E56866">
              <w:rPr>
                <w:rFonts w:eastAsia="Times New Roman" w:cstheme="minorHAnsi"/>
                <w:noProof/>
              </w:rPr>
              <w:t>; ii) ELTS § 59</w:t>
            </w:r>
            <w:r w:rsidRPr="00E56866">
              <w:rPr>
                <w:rFonts w:eastAsia="Times New Roman" w:cstheme="minorHAnsi"/>
                <w:noProof/>
                <w:vertAlign w:val="superscript"/>
              </w:rPr>
              <w:t>4</w:t>
            </w:r>
            <w:r w:rsidRPr="00E56866">
              <w:rPr>
                <w:rFonts w:eastAsia="Times New Roman" w:cstheme="minorHAnsi"/>
                <w:noProof/>
              </w:rPr>
              <w:t xml:space="preserve"> lg 5</w:t>
            </w:r>
            <w:r w:rsidRPr="00E56866">
              <w:rPr>
                <w:rFonts w:eastAsia="Times New Roman" w:cstheme="minorHAnsi"/>
                <w:noProof/>
                <w:vertAlign w:val="superscript"/>
              </w:rPr>
              <w:t>2</w:t>
            </w:r>
            <w:r w:rsidRPr="00E56866">
              <w:rPr>
                <w:rFonts w:eastAsia="Times New Roman" w:cstheme="minorHAnsi"/>
                <w:noProof/>
              </w:rPr>
              <w:t xml:space="preserve"> p 5 alusel korraldatud (meretuulepargi) vähempakkumise võitja ei ole 36 kuu jooksul pärast ELTS § 59</w:t>
            </w:r>
            <w:r w:rsidRPr="00E56866">
              <w:rPr>
                <w:rFonts w:eastAsia="Times New Roman" w:cstheme="minorHAnsi"/>
                <w:noProof/>
                <w:vertAlign w:val="superscript"/>
              </w:rPr>
              <w:t>4</w:t>
            </w:r>
            <w:r w:rsidRPr="00E56866">
              <w:rPr>
                <w:rFonts w:eastAsia="Times New Roman" w:cstheme="minorHAnsi"/>
                <w:noProof/>
              </w:rPr>
              <w:t xml:space="preserve"> lg-s 11 nimetatud korralduse vastuvõtmist tootmisseadme võrku ühendamiseks sõlminud liitumislepingut.</w:t>
            </w:r>
          </w:p>
          <w:p w14:paraId="021CA8F6" w14:textId="77777777" w:rsidR="00D61522" w:rsidRDefault="00D61522" w:rsidP="00D61522">
            <w:pPr>
              <w:spacing w:before="120" w:line="276" w:lineRule="auto"/>
              <w:jc w:val="both"/>
              <w:rPr>
                <w:rFonts w:eastAsia="Times New Roman" w:cstheme="minorHAnsi"/>
                <w:noProof/>
              </w:rPr>
            </w:pPr>
            <w:r w:rsidRPr="00E56866">
              <w:rPr>
                <w:rFonts w:eastAsia="Times New Roman" w:cstheme="minorHAnsi"/>
                <w:noProof/>
              </w:rPr>
              <w:lastRenderedPageBreak/>
              <w:t xml:space="preserve">Meile arusaadavalt </w:t>
            </w:r>
            <w:r w:rsidRPr="00E56866">
              <w:rPr>
                <w:rFonts w:eastAsia="Times New Roman" w:cstheme="minorHAnsi"/>
                <w:i/>
                <w:iCs/>
                <w:noProof/>
              </w:rPr>
              <w:t xml:space="preserve">(vastava eraldiseisva </w:t>
            </w:r>
            <w:r>
              <w:rPr>
                <w:rFonts w:eastAsia="Times New Roman" w:cstheme="minorHAnsi"/>
                <w:i/>
                <w:iCs/>
                <w:noProof/>
              </w:rPr>
              <w:t xml:space="preserve">ELTS-i muudatuse </w:t>
            </w:r>
            <w:r w:rsidRPr="00E56866">
              <w:rPr>
                <w:rFonts w:eastAsia="Times New Roman" w:cstheme="minorHAnsi"/>
                <w:i/>
                <w:iCs/>
                <w:noProof/>
              </w:rPr>
              <w:t>eelnõu viimane versioon ei ole käesoleva seisukoha koostamise ajal avalikult kättesaadav)</w:t>
            </w:r>
            <w:r w:rsidRPr="00E56866">
              <w:rPr>
                <w:rFonts w:eastAsia="Times New Roman" w:cstheme="minorHAnsi"/>
                <w:noProof/>
              </w:rPr>
              <w:t xml:space="preserve"> kavandatakse ELTS-i muuta nii, et: i) fikseeritud liitumistasu rakendumise korral ELTS §-s 87</w:t>
            </w:r>
            <w:r w:rsidRPr="00E56866">
              <w:rPr>
                <w:rFonts w:eastAsia="Times New Roman" w:cstheme="minorHAnsi"/>
                <w:noProof/>
                <w:vertAlign w:val="superscript"/>
              </w:rPr>
              <w:t>1</w:t>
            </w:r>
            <w:r w:rsidRPr="00E56866">
              <w:rPr>
                <w:rFonts w:eastAsia="Times New Roman" w:cstheme="minorHAnsi"/>
                <w:noProof/>
              </w:rPr>
              <w:t xml:space="preserve"> lg-s 1 sätestatud liitumistaotluse tagatise nõuet ei rakendataks; ii) küll aga tuleks fikseeritud liitumistasu tasuda põhivõrguettevõtjale liitumislepingu sõlmimisest 60 päeva jooksul; iii) fikseeritud liitumistasu suurus oleks võimsuse lisamiseks 44 000 eurot megavoltampri kohta</w:t>
            </w:r>
            <w:r>
              <w:rPr>
                <w:rFonts w:eastAsia="Times New Roman" w:cstheme="minorHAnsi"/>
                <w:noProof/>
              </w:rPr>
              <w:t>, millele lisanduks</w:t>
            </w:r>
            <w:r w:rsidRPr="00E56866">
              <w:rPr>
                <w:rFonts w:eastAsia="Times New Roman" w:cstheme="minorHAnsi"/>
                <w:noProof/>
              </w:rPr>
              <w:t xml:space="preserve"> eraldi hinnakirjal põhinev liitumispunkti tasu.</w:t>
            </w:r>
          </w:p>
          <w:p w14:paraId="208A8464" w14:textId="77777777" w:rsidR="00D61522" w:rsidRDefault="00D61522" w:rsidP="00D61522">
            <w:pPr>
              <w:spacing w:before="120" w:line="276" w:lineRule="auto"/>
              <w:jc w:val="both"/>
              <w:rPr>
                <w:rFonts w:eastAsia="Times New Roman" w:cstheme="minorHAnsi"/>
                <w:noProof/>
              </w:rPr>
            </w:pPr>
            <w:r w:rsidRPr="00E56866">
              <w:rPr>
                <w:rFonts w:eastAsia="Times New Roman" w:cstheme="minorHAnsi"/>
                <w:noProof/>
              </w:rPr>
              <w:t>Samal ajal sätestavad ELTS § 59</w:t>
            </w:r>
            <w:r w:rsidRPr="00E56866">
              <w:rPr>
                <w:rFonts w:eastAsia="Times New Roman" w:cstheme="minorHAnsi"/>
                <w:noProof/>
                <w:vertAlign w:val="superscript"/>
              </w:rPr>
              <w:t>7</w:t>
            </w:r>
            <w:r w:rsidRPr="00E56866">
              <w:rPr>
                <w:rFonts w:eastAsia="Times New Roman" w:cstheme="minorHAnsi"/>
                <w:noProof/>
              </w:rPr>
              <w:t xml:space="preserve"> lg 1 ja 2 (mida eelnõuga ei muudeta), et  ELTS §-des 59</w:t>
            </w:r>
            <w:r w:rsidRPr="00E56866">
              <w:rPr>
                <w:rFonts w:eastAsia="Times New Roman" w:cstheme="minorHAnsi"/>
                <w:noProof/>
                <w:vertAlign w:val="superscript"/>
              </w:rPr>
              <w:t>4</w:t>
            </w:r>
            <w:r w:rsidRPr="00E56866">
              <w:rPr>
                <w:rFonts w:eastAsia="Times New Roman" w:cstheme="minorHAnsi"/>
                <w:noProof/>
              </w:rPr>
              <w:t>–59</w:t>
            </w:r>
            <w:r w:rsidRPr="00E56866">
              <w:rPr>
                <w:rFonts w:eastAsia="Times New Roman" w:cstheme="minorHAnsi"/>
                <w:noProof/>
                <w:vertAlign w:val="superscript"/>
              </w:rPr>
              <w:t>5</w:t>
            </w:r>
            <w:r w:rsidRPr="00E56866">
              <w:rPr>
                <w:rFonts w:eastAsia="Times New Roman" w:cstheme="minorHAnsi"/>
                <w:noProof/>
              </w:rPr>
              <w:t xml:space="preserve"> nimetatud vähempakkumisel osaleja esitab vähempakkumise läbiviijale tagatise, mille suuruse määrab Vabariigi Valitsus vähempakkumise korraldamist otsustades, </w:t>
            </w:r>
            <w:r w:rsidRPr="00E56866">
              <w:rPr>
                <w:rFonts w:eastAsia="Times New Roman" w:cstheme="minorHAnsi"/>
                <w:noProof/>
                <w:u w:val="single"/>
              </w:rPr>
              <w:t>kusjuures tagatise suurus on kuni 20 eurot vähempakkumises esitatud aastase tootmismahu megavatt-tunni kohta</w:t>
            </w:r>
            <w:r w:rsidRPr="00E56866">
              <w:rPr>
                <w:rFonts w:eastAsia="Times New Roman" w:cstheme="minorHAnsi"/>
                <w:noProof/>
              </w:rPr>
              <w:t>.</w:t>
            </w:r>
          </w:p>
          <w:p w14:paraId="7D05AB72" w14:textId="77777777" w:rsidR="00D61522" w:rsidRDefault="00D61522" w:rsidP="00D61522">
            <w:pPr>
              <w:spacing w:before="120" w:line="276" w:lineRule="auto"/>
              <w:jc w:val="both"/>
              <w:rPr>
                <w:rFonts w:eastAsia="Times New Roman" w:cstheme="minorHAnsi"/>
                <w:noProof/>
              </w:rPr>
            </w:pPr>
            <w:r w:rsidRPr="00012B8C">
              <w:rPr>
                <w:rFonts w:eastAsia="Times New Roman" w:cstheme="minorHAnsi"/>
                <w:noProof/>
              </w:rPr>
              <w:t xml:space="preserve">Nii tekib arendajal ühelt poolt lühikese ajaakna sees sisuliselt topeltkulu: vähempakkumise tagatis ja liitumiskulu. Lisaks, juhul kui (eriti maismaatuuleparkide puhul) osaletakse vähempakkumisel hulga alternatiivsete tootmisseadmete </w:t>
            </w:r>
            <w:r w:rsidRPr="0028507D">
              <w:rPr>
                <w:rFonts w:eastAsia="Times New Roman" w:cstheme="minorHAnsi"/>
                <w:noProof/>
              </w:rPr>
              <w:t>asukohtadega, tekib justkui kohustus igaks juhuks ette finantseerida kõigi nende liitumiste väljaehitamist juba 6</w:t>
            </w:r>
            <w:r>
              <w:rPr>
                <w:rFonts w:eastAsia="Times New Roman" w:cstheme="minorHAnsi"/>
                <w:noProof/>
              </w:rPr>
              <w:t>+2</w:t>
            </w:r>
            <w:r w:rsidRPr="0028507D">
              <w:rPr>
                <w:rFonts w:eastAsia="Times New Roman" w:cstheme="minorHAnsi"/>
                <w:noProof/>
              </w:rPr>
              <w:t xml:space="preserve"> kuu jooksul vähempakkumise tulemuste kinnitamise korraldusest. </w:t>
            </w:r>
            <w:r w:rsidRPr="00595B47">
              <w:rPr>
                <w:rFonts w:eastAsia="Times New Roman" w:cstheme="minorHAnsi"/>
                <w:noProof/>
              </w:rPr>
              <w:t>Vastavaks ajahetkeks ei pruugi olla selge, milline pakkumuses esitatud tootmisseade on alternatiivide hulgast üldse realiseeritav</w:t>
            </w:r>
            <w:r>
              <w:rPr>
                <w:rFonts w:eastAsia="Times New Roman" w:cstheme="minorHAnsi"/>
                <w:noProof/>
              </w:rPr>
              <w:t>(aim</w:t>
            </w:r>
            <w:r w:rsidRPr="00595B47">
              <w:rPr>
                <w:rFonts w:eastAsia="Times New Roman" w:cstheme="minorHAnsi"/>
                <w:noProof/>
              </w:rPr>
              <w:t>). Vähempakkumise tagatis on piisav rahaline motivatsioon õigeaegseks tootmisega alustamiseks, mida ei ole proportsionaalne täiendavalt sanktsioneerida.</w:t>
            </w:r>
          </w:p>
          <w:p w14:paraId="69C74BE6" w14:textId="5DBAF448" w:rsidR="00BF66B0" w:rsidRPr="004E196B" w:rsidRDefault="00D61522" w:rsidP="00B81985">
            <w:pPr>
              <w:spacing w:before="120" w:line="276" w:lineRule="auto"/>
              <w:jc w:val="both"/>
              <w:rPr>
                <w:rFonts w:eastAsia="Times New Roman" w:cstheme="minorHAnsi"/>
                <w:b/>
                <w:bCs/>
                <w:noProof/>
              </w:rPr>
            </w:pPr>
            <w:r w:rsidRPr="00EF6CC6">
              <w:rPr>
                <w:rFonts w:eastAsia="Times New Roman" w:cstheme="minorHAnsi"/>
                <w:b/>
                <w:bCs/>
                <w:noProof/>
              </w:rPr>
              <w:t xml:space="preserve">Seega palume ELTS-i korrigeerida nii, et maismaa- ega meretuuleparkide vähempakkumistel osalemisel ei tekiks arendajale lühikeses ajaaknas topeltkulu </w:t>
            </w:r>
            <w:r>
              <w:rPr>
                <w:rFonts w:eastAsia="Times New Roman" w:cstheme="minorHAnsi"/>
                <w:b/>
                <w:bCs/>
                <w:noProof/>
              </w:rPr>
              <w:t xml:space="preserve">ja risk </w:t>
            </w:r>
            <w:r w:rsidRPr="00EF6CC6">
              <w:rPr>
                <w:rFonts w:eastAsia="Times New Roman" w:cstheme="minorHAnsi"/>
                <w:b/>
                <w:bCs/>
                <w:noProof/>
              </w:rPr>
              <w:t>vähempakkumise tagatise ning fikseeritud liitumistasu näol. Esimeseks alternatiiviks võiks olla eemaldada ELTS-ist kohustuslikud liitumislepingute sõlmimise tähtajad.  Teiseks võimalikuks lahenduseks saaks olla, et maismaa- või meretuulepargi vähempakkumisel edukaks osutunud arendaja ei pea pakkumuse esemeks oleva tootmisseadme puhul fikseeritud liitumistasu kohe liitumislepingu sõlmimise järel tasuma</w:t>
            </w:r>
            <w:r>
              <w:rPr>
                <w:rFonts w:eastAsia="Times New Roman" w:cstheme="minorHAnsi"/>
                <w:b/>
                <w:bCs/>
                <w:noProof/>
              </w:rPr>
              <w:t>, vaid rakenduks näiteks praegu kehtiva „Elektrisüsteemi toimimise võrgueeskirja“ § 21 lg 2 kohane osamaksete loogika. Kolmas alternatiiv oleks pikendada maismaatuuleparkide puhul liitumislepingu sõlmimise tähtaega 18 kuuni vähempakkumise tulemuste kinnitamisest arvates</w:t>
            </w:r>
            <w:r w:rsidRPr="00EF6CC6">
              <w:rPr>
                <w:rFonts w:eastAsia="Times New Roman" w:cstheme="minorHAnsi"/>
                <w:b/>
                <w:bCs/>
                <w:noProof/>
              </w:rPr>
              <w:t>.</w:t>
            </w:r>
          </w:p>
        </w:tc>
        <w:tc>
          <w:tcPr>
            <w:tcW w:w="3282" w:type="dxa"/>
          </w:tcPr>
          <w:p w14:paraId="771AA0F5" w14:textId="4E5C8CF4" w:rsidR="007B059F" w:rsidRPr="00797EDC" w:rsidRDefault="0071588E" w:rsidP="007B059F">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Mittearvestatud</w:t>
            </w:r>
          </w:p>
          <w:p w14:paraId="6E2F2BB5" w14:textId="77777777" w:rsidR="0071588E" w:rsidRDefault="0071588E" w:rsidP="007B059F">
            <w:pPr>
              <w:pStyle w:val="Loendilik"/>
              <w:ind w:left="-23"/>
              <w:jc w:val="both"/>
              <w:rPr>
                <w:rFonts w:ascii="Times New Roman" w:eastAsia="Calibri" w:hAnsi="Times New Roman" w:cs="Times New Roman"/>
                <w:sz w:val="24"/>
                <w:szCs w:val="24"/>
              </w:rPr>
            </w:pPr>
          </w:p>
          <w:p w14:paraId="794C912A" w14:textId="398B1385" w:rsidR="00BF66B0" w:rsidRPr="00797EDC" w:rsidRDefault="00B46243" w:rsidP="013F8064">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Liitumislepingu</w:t>
            </w:r>
            <w:r w:rsidR="00E677EA" w:rsidRPr="00797EDC">
              <w:rPr>
                <w:rFonts w:ascii="Times New Roman" w:eastAsia="Calibri" w:hAnsi="Times New Roman" w:cs="Times New Roman"/>
                <w:sz w:val="24"/>
                <w:szCs w:val="24"/>
              </w:rPr>
              <w:t xml:space="preserve"> õigeaegne</w:t>
            </w:r>
            <w:r w:rsidRPr="00797EDC">
              <w:rPr>
                <w:rFonts w:ascii="Times New Roman" w:eastAsia="Calibri" w:hAnsi="Times New Roman" w:cs="Times New Roman"/>
                <w:sz w:val="24"/>
                <w:szCs w:val="24"/>
              </w:rPr>
              <w:t xml:space="preserve"> sõlmimine annab kõigile osapooltele kindluse võrgu valmimise</w:t>
            </w:r>
            <w:r w:rsidR="0071588E">
              <w:rPr>
                <w:rFonts w:ascii="Times New Roman" w:eastAsia="Calibri" w:hAnsi="Times New Roman" w:cs="Times New Roman"/>
                <w:sz w:val="24"/>
                <w:szCs w:val="24"/>
              </w:rPr>
              <w:t xml:space="preserve"> kohta</w:t>
            </w:r>
            <w:r w:rsidR="00E677EA" w:rsidRPr="00797EDC">
              <w:rPr>
                <w:rFonts w:ascii="Times New Roman" w:eastAsia="Calibri" w:hAnsi="Times New Roman" w:cs="Times New Roman"/>
                <w:sz w:val="24"/>
                <w:szCs w:val="24"/>
              </w:rPr>
              <w:t>.</w:t>
            </w:r>
          </w:p>
          <w:p w14:paraId="315E73E8" w14:textId="115D4BC6" w:rsidR="00BF66B0" w:rsidRPr="00797EDC" w:rsidRDefault="00BF66B0" w:rsidP="013F8064">
            <w:pPr>
              <w:pStyle w:val="Loendilik"/>
              <w:ind w:left="-23"/>
              <w:jc w:val="both"/>
              <w:rPr>
                <w:rFonts w:ascii="Times New Roman" w:eastAsia="Calibri" w:hAnsi="Times New Roman" w:cs="Times New Roman"/>
                <w:sz w:val="24"/>
                <w:szCs w:val="24"/>
              </w:rPr>
            </w:pPr>
          </w:p>
          <w:p w14:paraId="5D6004C2" w14:textId="78B356E6" w:rsidR="00BF66B0" w:rsidRPr="00797EDC" w:rsidRDefault="00BF66B0" w:rsidP="013F8064">
            <w:pPr>
              <w:pStyle w:val="Loendilik"/>
              <w:ind w:left="-23"/>
              <w:jc w:val="both"/>
              <w:rPr>
                <w:rFonts w:ascii="Times New Roman" w:eastAsia="Calibri" w:hAnsi="Times New Roman" w:cs="Times New Roman"/>
                <w:sz w:val="24"/>
                <w:szCs w:val="24"/>
              </w:rPr>
            </w:pPr>
          </w:p>
          <w:p w14:paraId="358FBA5B" w14:textId="40D879AC" w:rsidR="00BF66B0" w:rsidRPr="00797EDC" w:rsidRDefault="00BF66B0" w:rsidP="013F8064">
            <w:pPr>
              <w:pStyle w:val="Loendilik"/>
              <w:ind w:left="-23"/>
              <w:jc w:val="both"/>
              <w:rPr>
                <w:rFonts w:ascii="Times New Roman" w:eastAsia="Calibri" w:hAnsi="Times New Roman" w:cs="Times New Roman"/>
                <w:sz w:val="24"/>
                <w:szCs w:val="24"/>
              </w:rPr>
            </w:pPr>
          </w:p>
          <w:p w14:paraId="4A78EC1E" w14:textId="3A25EF26" w:rsidR="00BF66B0" w:rsidRPr="00797EDC" w:rsidRDefault="00BF66B0" w:rsidP="013F8064">
            <w:pPr>
              <w:pStyle w:val="Loendilik"/>
              <w:ind w:left="-23"/>
              <w:jc w:val="both"/>
              <w:rPr>
                <w:rFonts w:ascii="Times New Roman" w:eastAsia="Calibri" w:hAnsi="Times New Roman" w:cs="Times New Roman"/>
                <w:sz w:val="24"/>
                <w:szCs w:val="24"/>
              </w:rPr>
            </w:pPr>
          </w:p>
          <w:p w14:paraId="1DCD45BE" w14:textId="67F6E7FB" w:rsidR="00BF66B0" w:rsidRPr="00797EDC" w:rsidRDefault="00BF66B0" w:rsidP="013F8064">
            <w:pPr>
              <w:pStyle w:val="Loendilik"/>
              <w:ind w:left="-23"/>
              <w:jc w:val="both"/>
              <w:rPr>
                <w:rFonts w:ascii="Times New Roman" w:eastAsia="Calibri" w:hAnsi="Times New Roman" w:cs="Times New Roman"/>
                <w:sz w:val="24"/>
                <w:szCs w:val="24"/>
              </w:rPr>
            </w:pPr>
          </w:p>
          <w:p w14:paraId="1F098545" w14:textId="06E6EC0C" w:rsidR="00BF66B0" w:rsidRPr="00797EDC" w:rsidRDefault="00BF66B0" w:rsidP="013F8064">
            <w:pPr>
              <w:pStyle w:val="Loendilik"/>
              <w:ind w:left="-23"/>
              <w:jc w:val="both"/>
              <w:rPr>
                <w:rFonts w:ascii="Times New Roman" w:eastAsia="Calibri" w:hAnsi="Times New Roman" w:cs="Times New Roman"/>
                <w:sz w:val="24"/>
                <w:szCs w:val="24"/>
              </w:rPr>
            </w:pPr>
          </w:p>
          <w:p w14:paraId="7C0CE19C" w14:textId="7DBBB76A" w:rsidR="00BF66B0" w:rsidRPr="00797EDC" w:rsidRDefault="00BF66B0" w:rsidP="013F8064">
            <w:pPr>
              <w:pStyle w:val="Loendilik"/>
              <w:ind w:left="-23"/>
              <w:jc w:val="both"/>
              <w:rPr>
                <w:rFonts w:ascii="Times New Roman" w:eastAsia="Calibri" w:hAnsi="Times New Roman" w:cs="Times New Roman"/>
                <w:sz w:val="24"/>
                <w:szCs w:val="24"/>
              </w:rPr>
            </w:pPr>
          </w:p>
          <w:p w14:paraId="479A3799" w14:textId="6ABCBF18" w:rsidR="00BF66B0" w:rsidRPr="00797EDC" w:rsidRDefault="00BF66B0" w:rsidP="013F8064">
            <w:pPr>
              <w:pStyle w:val="Loendilik"/>
              <w:ind w:left="-23"/>
              <w:jc w:val="both"/>
              <w:rPr>
                <w:rFonts w:ascii="Times New Roman" w:eastAsia="Calibri" w:hAnsi="Times New Roman" w:cs="Times New Roman"/>
                <w:sz w:val="24"/>
                <w:szCs w:val="24"/>
              </w:rPr>
            </w:pPr>
          </w:p>
          <w:p w14:paraId="52722945" w14:textId="2B40ED58" w:rsidR="00BF66B0" w:rsidRPr="00797EDC" w:rsidRDefault="00BF66B0" w:rsidP="013F8064">
            <w:pPr>
              <w:pStyle w:val="Loendilik"/>
              <w:ind w:left="-23"/>
              <w:jc w:val="both"/>
              <w:rPr>
                <w:rFonts w:ascii="Times New Roman" w:eastAsia="Calibri" w:hAnsi="Times New Roman" w:cs="Times New Roman"/>
                <w:sz w:val="24"/>
                <w:szCs w:val="24"/>
              </w:rPr>
            </w:pPr>
          </w:p>
          <w:p w14:paraId="437EBE31" w14:textId="5A16B18D" w:rsidR="00BF66B0" w:rsidRPr="00797EDC" w:rsidRDefault="00BF66B0" w:rsidP="013F8064">
            <w:pPr>
              <w:pStyle w:val="Loendilik"/>
              <w:ind w:left="-23"/>
              <w:jc w:val="both"/>
              <w:rPr>
                <w:rFonts w:ascii="Times New Roman" w:eastAsia="Calibri" w:hAnsi="Times New Roman" w:cs="Times New Roman"/>
                <w:sz w:val="24"/>
                <w:szCs w:val="24"/>
              </w:rPr>
            </w:pPr>
          </w:p>
          <w:p w14:paraId="1B249B00" w14:textId="520FD399" w:rsidR="00BF66B0" w:rsidRPr="00797EDC" w:rsidRDefault="00BF66B0" w:rsidP="013F8064">
            <w:pPr>
              <w:pStyle w:val="Loendilik"/>
              <w:ind w:left="-23"/>
              <w:jc w:val="both"/>
              <w:rPr>
                <w:rFonts w:ascii="Times New Roman" w:eastAsia="Calibri" w:hAnsi="Times New Roman" w:cs="Times New Roman"/>
                <w:sz w:val="24"/>
                <w:szCs w:val="24"/>
              </w:rPr>
            </w:pPr>
          </w:p>
          <w:p w14:paraId="4A0BD56F" w14:textId="37DB8EDB" w:rsidR="00BF66B0" w:rsidRPr="00797EDC" w:rsidRDefault="00BF66B0" w:rsidP="013F8064">
            <w:pPr>
              <w:pStyle w:val="Loendilik"/>
              <w:ind w:left="-23"/>
              <w:jc w:val="both"/>
              <w:rPr>
                <w:rFonts w:ascii="Times New Roman" w:eastAsia="Calibri" w:hAnsi="Times New Roman" w:cs="Times New Roman"/>
                <w:sz w:val="24"/>
                <w:szCs w:val="24"/>
              </w:rPr>
            </w:pPr>
          </w:p>
          <w:p w14:paraId="7F3F5642" w14:textId="282C3EAE" w:rsidR="00BF66B0" w:rsidRPr="00797EDC" w:rsidRDefault="00BF66B0" w:rsidP="013F8064">
            <w:pPr>
              <w:pStyle w:val="Loendilik"/>
              <w:ind w:left="-23"/>
              <w:jc w:val="both"/>
              <w:rPr>
                <w:rFonts w:ascii="Times New Roman" w:eastAsia="Calibri" w:hAnsi="Times New Roman" w:cs="Times New Roman"/>
                <w:sz w:val="24"/>
                <w:szCs w:val="24"/>
              </w:rPr>
            </w:pPr>
          </w:p>
          <w:p w14:paraId="5BB1A51F" w14:textId="7A3499E6" w:rsidR="00BF66B0" w:rsidRPr="00797EDC" w:rsidRDefault="00BF66B0" w:rsidP="013F8064">
            <w:pPr>
              <w:pStyle w:val="Loendilik"/>
              <w:ind w:left="-23"/>
              <w:jc w:val="both"/>
              <w:rPr>
                <w:rFonts w:ascii="Times New Roman" w:eastAsia="Calibri" w:hAnsi="Times New Roman" w:cs="Times New Roman"/>
                <w:sz w:val="24"/>
                <w:szCs w:val="24"/>
              </w:rPr>
            </w:pPr>
          </w:p>
          <w:p w14:paraId="30899502" w14:textId="2DB64B5D" w:rsidR="00BF66B0" w:rsidRPr="00797EDC" w:rsidRDefault="00BF66B0" w:rsidP="013F8064">
            <w:pPr>
              <w:pStyle w:val="Loendilik"/>
              <w:ind w:left="-23"/>
              <w:jc w:val="both"/>
              <w:rPr>
                <w:rFonts w:ascii="Times New Roman" w:eastAsia="Calibri" w:hAnsi="Times New Roman" w:cs="Times New Roman"/>
                <w:sz w:val="24"/>
                <w:szCs w:val="24"/>
              </w:rPr>
            </w:pPr>
          </w:p>
          <w:p w14:paraId="5E5330CD" w14:textId="411AC290" w:rsidR="00BF66B0" w:rsidRPr="00797EDC" w:rsidRDefault="00BF66B0" w:rsidP="013F8064">
            <w:pPr>
              <w:pStyle w:val="Loendilik"/>
              <w:ind w:left="-23"/>
              <w:jc w:val="both"/>
              <w:rPr>
                <w:rFonts w:ascii="Times New Roman" w:eastAsia="Calibri" w:hAnsi="Times New Roman" w:cs="Times New Roman"/>
                <w:sz w:val="24"/>
                <w:szCs w:val="24"/>
              </w:rPr>
            </w:pPr>
          </w:p>
          <w:p w14:paraId="3064436C" w14:textId="77670567" w:rsidR="00BF66B0" w:rsidRPr="00797EDC" w:rsidRDefault="00BF66B0" w:rsidP="013F8064">
            <w:pPr>
              <w:pStyle w:val="Loendilik"/>
              <w:ind w:left="-23"/>
              <w:jc w:val="both"/>
              <w:rPr>
                <w:rFonts w:ascii="Times New Roman" w:eastAsia="Calibri" w:hAnsi="Times New Roman" w:cs="Times New Roman"/>
                <w:sz w:val="24"/>
                <w:szCs w:val="24"/>
              </w:rPr>
            </w:pPr>
          </w:p>
          <w:p w14:paraId="484B45CA" w14:textId="5B9C2A74" w:rsidR="00BF66B0" w:rsidRPr="00797EDC" w:rsidRDefault="00BF66B0" w:rsidP="013F8064">
            <w:pPr>
              <w:pStyle w:val="Loendilik"/>
              <w:ind w:left="-23"/>
              <w:jc w:val="both"/>
              <w:rPr>
                <w:rFonts w:ascii="Times New Roman" w:eastAsia="Calibri" w:hAnsi="Times New Roman" w:cs="Times New Roman"/>
                <w:sz w:val="24"/>
                <w:szCs w:val="24"/>
              </w:rPr>
            </w:pPr>
          </w:p>
          <w:p w14:paraId="02F7449C" w14:textId="6497C72B" w:rsidR="00BF66B0" w:rsidRPr="00797EDC" w:rsidRDefault="00BF66B0" w:rsidP="013F8064">
            <w:pPr>
              <w:pStyle w:val="Loendilik"/>
              <w:ind w:left="-23"/>
              <w:jc w:val="both"/>
              <w:rPr>
                <w:rFonts w:ascii="Times New Roman" w:eastAsia="Calibri" w:hAnsi="Times New Roman" w:cs="Times New Roman"/>
                <w:sz w:val="24"/>
                <w:szCs w:val="24"/>
              </w:rPr>
            </w:pPr>
          </w:p>
          <w:p w14:paraId="023908C3" w14:textId="4336CF36" w:rsidR="00BF66B0" w:rsidRPr="00797EDC" w:rsidRDefault="00BF66B0" w:rsidP="013F8064">
            <w:pPr>
              <w:pStyle w:val="Loendilik"/>
              <w:ind w:left="-23"/>
              <w:jc w:val="both"/>
              <w:rPr>
                <w:rFonts w:ascii="Times New Roman" w:eastAsia="Calibri" w:hAnsi="Times New Roman" w:cs="Times New Roman"/>
                <w:sz w:val="24"/>
                <w:szCs w:val="24"/>
              </w:rPr>
            </w:pPr>
          </w:p>
          <w:p w14:paraId="48ADB5EE" w14:textId="391F0169" w:rsidR="00BF66B0" w:rsidRPr="00797EDC" w:rsidRDefault="00BF66B0" w:rsidP="013F8064">
            <w:pPr>
              <w:pStyle w:val="Loendilik"/>
              <w:ind w:left="-23"/>
              <w:jc w:val="both"/>
              <w:rPr>
                <w:rFonts w:ascii="Times New Roman" w:eastAsia="Calibri" w:hAnsi="Times New Roman" w:cs="Times New Roman"/>
                <w:sz w:val="24"/>
                <w:szCs w:val="24"/>
              </w:rPr>
            </w:pPr>
          </w:p>
          <w:p w14:paraId="5A3B0BAE" w14:textId="3E5C1F19" w:rsidR="00BF66B0" w:rsidRPr="00797EDC" w:rsidRDefault="00BF66B0" w:rsidP="013F8064">
            <w:pPr>
              <w:pStyle w:val="Loendilik"/>
              <w:ind w:left="-23"/>
              <w:jc w:val="both"/>
              <w:rPr>
                <w:rFonts w:ascii="Times New Roman" w:eastAsia="Calibri" w:hAnsi="Times New Roman" w:cs="Times New Roman"/>
                <w:sz w:val="24"/>
                <w:szCs w:val="24"/>
              </w:rPr>
            </w:pPr>
          </w:p>
          <w:p w14:paraId="5A2319CE" w14:textId="0346AC58" w:rsidR="00BF66B0" w:rsidRPr="00797EDC" w:rsidRDefault="00BF66B0" w:rsidP="013F8064">
            <w:pPr>
              <w:pStyle w:val="Loendilik"/>
              <w:ind w:left="-23"/>
              <w:jc w:val="both"/>
              <w:rPr>
                <w:rFonts w:ascii="Times New Roman" w:eastAsia="Calibri" w:hAnsi="Times New Roman" w:cs="Times New Roman"/>
                <w:sz w:val="24"/>
                <w:szCs w:val="24"/>
              </w:rPr>
            </w:pPr>
          </w:p>
          <w:p w14:paraId="5590AD22" w14:textId="4B254879" w:rsidR="00BF66B0" w:rsidRPr="00797EDC" w:rsidRDefault="00BF66B0" w:rsidP="013F8064">
            <w:pPr>
              <w:pStyle w:val="Loendilik"/>
              <w:ind w:left="-23"/>
              <w:jc w:val="both"/>
              <w:rPr>
                <w:rFonts w:ascii="Times New Roman" w:eastAsia="Calibri" w:hAnsi="Times New Roman" w:cs="Times New Roman"/>
                <w:sz w:val="24"/>
                <w:szCs w:val="24"/>
              </w:rPr>
            </w:pPr>
          </w:p>
          <w:p w14:paraId="2D514073" w14:textId="3713FF2C" w:rsidR="00BF66B0" w:rsidRPr="00797EDC" w:rsidRDefault="00BF66B0" w:rsidP="013F8064">
            <w:pPr>
              <w:pStyle w:val="Loendilik"/>
              <w:ind w:left="-23"/>
              <w:jc w:val="both"/>
              <w:rPr>
                <w:rFonts w:ascii="Times New Roman" w:eastAsia="Calibri" w:hAnsi="Times New Roman" w:cs="Times New Roman"/>
                <w:sz w:val="24"/>
                <w:szCs w:val="24"/>
              </w:rPr>
            </w:pPr>
          </w:p>
          <w:p w14:paraId="1FBB3D9F" w14:textId="2B875535" w:rsidR="00BF66B0" w:rsidRPr="00797EDC" w:rsidRDefault="00BF66B0" w:rsidP="013F8064">
            <w:pPr>
              <w:pStyle w:val="Loendilik"/>
              <w:ind w:left="-23"/>
              <w:jc w:val="both"/>
              <w:rPr>
                <w:rFonts w:ascii="Times New Roman" w:eastAsia="Calibri" w:hAnsi="Times New Roman" w:cs="Times New Roman"/>
                <w:sz w:val="24"/>
                <w:szCs w:val="24"/>
              </w:rPr>
            </w:pPr>
          </w:p>
          <w:p w14:paraId="46D2F855" w14:textId="7E19B918" w:rsidR="00BF66B0" w:rsidRPr="00797EDC" w:rsidRDefault="00BF66B0" w:rsidP="013F8064">
            <w:pPr>
              <w:pStyle w:val="Loendilik"/>
              <w:ind w:left="-23"/>
              <w:jc w:val="both"/>
              <w:rPr>
                <w:rFonts w:ascii="Times New Roman" w:eastAsia="Calibri" w:hAnsi="Times New Roman" w:cs="Times New Roman"/>
                <w:sz w:val="24"/>
                <w:szCs w:val="24"/>
              </w:rPr>
            </w:pPr>
          </w:p>
          <w:p w14:paraId="5A3CF0DC" w14:textId="2987915D" w:rsidR="00BF66B0" w:rsidRPr="00797EDC" w:rsidRDefault="00BF66B0" w:rsidP="013F8064">
            <w:pPr>
              <w:pStyle w:val="Loendilik"/>
              <w:ind w:left="-23"/>
              <w:jc w:val="both"/>
              <w:rPr>
                <w:rFonts w:ascii="Times New Roman" w:eastAsia="Calibri" w:hAnsi="Times New Roman" w:cs="Times New Roman"/>
                <w:sz w:val="24"/>
                <w:szCs w:val="24"/>
              </w:rPr>
            </w:pPr>
          </w:p>
          <w:p w14:paraId="53F4D592" w14:textId="7F9D0838" w:rsidR="00BF66B0" w:rsidRPr="00797EDC" w:rsidRDefault="00BF66B0" w:rsidP="013F8064">
            <w:pPr>
              <w:pStyle w:val="Loendilik"/>
              <w:ind w:left="-23"/>
              <w:jc w:val="both"/>
              <w:rPr>
                <w:rFonts w:ascii="Times New Roman" w:eastAsia="Calibri" w:hAnsi="Times New Roman" w:cs="Times New Roman"/>
                <w:sz w:val="24"/>
                <w:szCs w:val="24"/>
              </w:rPr>
            </w:pPr>
          </w:p>
          <w:p w14:paraId="67F7ACA8" w14:textId="099BCDAF" w:rsidR="00BF66B0" w:rsidRPr="00797EDC" w:rsidRDefault="00BF66B0" w:rsidP="013F8064">
            <w:pPr>
              <w:pStyle w:val="Loendilik"/>
              <w:ind w:left="-23"/>
              <w:jc w:val="both"/>
              <w:rPr>
                <w:rFonts w:ascii="Times New Roman" w:eastAsia="Calibri" w:hAnsi="Times New Roman" w:cs="Times New Roman"/>
                <w:sz w:val="24"/>
                <w:szCs w:val="24"/>
              </w:rPr>
            </w:pPr>
          </w:p>
          <w:p w14:paraId="0D9B7043" w14:textId="0596BD51" w:rsidR="00BF66B0" w:rsidRPr="00797EDC" w:rsidRDefault="00BF66B0" w:rsidP="013F8064">
            <w:pPr>
              <w:pStyle w:val="Loendilik"/>
              <w:ind w:left="-23"/>
              <w:jc w:val="both"/>
              <w:rPr>
                <w:rFonts w:ascii="Times New Roman" w:eastAsia="Calibri" w:hAnsi="Times New Roman" w:cs="Times New Roman"/>
                <w:sz w:val="24"/>
                <w:szCs w:val="24"/>
              </w:rPr>
            </w:pPr>
          </w:p>
          <w:p w14:paraId="01EA0128" w14:textId="43559A3E" w:rsidR="00BF66B0" w:rsidRPr="00797EDC" w:rsidRDefault="00BF66B0" w:rsidP="013F8064">
            <w:pPr>
              <w:pStyle w:val="Loendilik"/>
              <w:ind w:left="-23"/>
              <w:jc w:val="both"/>
              <w:rPr>
                <w:rFonts w:ascii="Times New Roman" w:eastAsia="Calibri" w:hAnsi="Times New Roman" w:cs="Times New Roman"/>
                <w:sz w:val="24"/>
                <w:szCs w:val="24"/>
              </w:rPr>
            </w:pPr>
          </w:p>
          <w:p w14:paraId="63F9B90D" w14:textId="3003E223" w:rsidR="00BF66B0" w:rsidRPr="00797EDC" w:rsidRDefault="00BF66B0" w:rsidP="013F8064">
            <w:pPr>
              <w:pStyle w:val="Loendilik"/>
              <w:ind w:left="-23"/>
              <w:jc w:val="both"/>
              <w:rPr>
                <w:rFonts w:ascii="Times New Roman" w:eastAsia="Calibri" w:hAnsi="Times New Roman" w:cs="Times New Roman"/>
                <w:sz w:val="24"/>
                <w:szCs w:val="24"/>
              </w:rPr>
            </w:pPr>
          </w:p>
          <w:p w14:paraId="6D7B0637" w14:textId="4B5CB045" w:rsidR="00BF66B0" w:rsidRPr="00797EDC" w:rsidRDefault="00BF66B0" w:rsidP="013F8064">
            <w:pPr>
              <w:pStyle w:val="Loendilik"/>
              <w:ind w:left="-23"/>
              <w:jc w:val="both"/>
              <w:rPr>
                <w:rFonts w:ascii="Times New Roman" w:eastAsia="Calibri" w:hAnsi="Times New Roman" w:cs="Times New Roman"/>
                <w:sz w:val="24"/>
                <w:szCs w:val="24"/>
              </w:rPr>
            </w:pPr>
          </w:p>
          <w:p w14:paraId="1B38C485" w14:textId="62A88C56" w:rsidR="00BF66B0" w:rsidRPr="00797EDC" w:rsidRDefault="00BF66B0" w:rsidP="013F8064">
            <w:pPr>
              <w:pStyle w:val="Loendilik"/>
              <w:ind w:left="-23"/>
              <w:jc w:val="both"/>
              <w:rPr>
                <w:rFonts w:ascii="Times New Roman" w:eastAsia="Calibri" w:hAnsi="Times New Roman" w:cs="Times New Roman"/>
                <w:sz w:val="24"/>
                <w:szCs w:val="24"/>
              </w:rPr>
            </w:pPr>
          </w:p>
          <w:p w14:paraId="1DB7B0B1" w14:textId="06AAE2CF" w:rsidR="00BF66B0" w:rsidRPr="006D0436" w:rsidRDefault="00BF66B0" w:rsidP="006D0436">
            <w:pPr>
              <w:jc w:val="both"/>
              <w:rPr>
                <w:rFonts w:ascii="Times New Roman" w:eastAsia="Calibri" w:hAnsi="Times New Roman" w:cs="Times New Roman"/>
                <w:sz w:val="24"/>
                <w:szCs w:val="24"/>
              </w:rPr>
            </w:pPr>
          </w:p>
        </w:tc>
      </w:tr>
      <w:tr w:rsidR="0026254F" w:rsidRPr="005C0F32" w14:paraId="03FB0831" w14:textId="77777777" w:rsidTr="3199B330">
        <w:trPr>
          <w:trHeight w:val="300"/>
        </w:trPr>
        <w:tc>
          <w:tcPr>
            <w:tcW w:w="10710" w:type="dxa"/>
          </w:tcPr>
          <w:p w14:paraId="02EDCF4F" w14:textId="77777777" w:rsidR="0026254F" w:rsidRDefault="00F479DA" w:rsidP="0026254F">
            <w:pPr>
              <w:spacing w:before="120" w:line="276" w:lineRule="auto"/>
              <w:jc w:val="both"/>
              <w:rPr>
                <w:rFonts w:eastAsia="Times New Roman" w:cstheme="minorHAnsi"/>
                <w:noProof/>
              </w:rPr>
            </w:pPr>
            <w:r>
              <w:rPr>
                <w:rFonts w:eastAsia="Times New Roman" w:cstheme="minorHAnsi"/>
                <w:b/>
                <w:bCs/>
                <w:noProof/>
              </w:rPr>
              <w:lastRenderedPageBreak/>
              <w:t>täpsustada</w:t>
            </w:r>
            <w:r w:rsidRPr="004E196B">
              <w:rPr>
                <w:rFonts w:eastAsia="Times New Roman" w:cstheme="minorHAnsi"/>
                <w:b/>
                <w:bCs/>
                <w:noProof/>
              </w:rPr>
              <w:t xml:space="preserve"> eelnõud ja seletuskirja ning mitte välistada toetatava elektrienergia koguse alt otseliini kaudu tarnitavat ja/või </w:t>
            </w:r>
            <w:r>
              <w:rPr>
                <w:rFonts w:eastAsia="Times New Roman" w:cstheme="minorHAnsi"/>
                <w:b/>
                <w:bCs/>
                <w:noProof/>
              </w:rPr>
              <w:t>elektriostulepingute (</w:t>
            </w:r>
            <w:r w:rsidRPr="004E196B">
              <w:rPr>
                <w:rFonts w:eastAsia="Times New Roman" w:cstheme="minorHAnsi"/>
                <w:b/>
                <w:bCs/>
                <w:noProof/>
              </w:rPr>
              <w:t>PPA</w:t>
            </w:r>
            <w:r>
              <w:rPr>
                <w:rFonts w:eastAsia="Times New Roman" w:cstheme="minorHAnsi"/>
                <w:b/>
                <w:bCs/>
                <w:noProof/>
              </w:rPr>
              <w:t>)</w:t>
            </w:r>
            <w:r w:rsidRPr="004E196B">
              <w:rPr>
                <w:rFonts w:eastAsia="Times New Roman" w:cstheme="minorHAnsi"/>
                <w:b/>
                <w:bCs/>
                <w:noProof/>
              </w:rPr>
              <w:t>-de alusel müüdavat elektrienergia kogust – riigiabireeglid ega ELTS-i loogika ei anna</w:t>
            </w:r>
            <w:r>
              <w:rPr>
                <w:rFonts w:eastAsia="Times New Roman" w:cstheme="minorHAnsi"/>
                <w:b/>
                <w:bCs/>
                <w:noProof/>
              </w:rPr>
              <w:t>ks</w:t>
            </w:r>
            <w:r w:rsidRPr="004E196B">
              <w:rPr>
                <w:rFonts w:eastAsia="Times New Roman" w:cstheme="minorHAnsi"/>
                <w:b/>
                <w:bCs/>
                <w:noProof/>
              </w:rPr>
              <w:t xml:space="preserve"> niisuguseks piiranguks ühtegi põhjust</w:t>
            </w:r>
            <w:r w:rsidRPr="00865CC7">
              <w:rPr>
                <w:rFonts w:eastAsia="Times New Roman" w:cstheme="minorHAnsi"/>
                <w:noProof/>
              </w:rPr>
              <w:t>;</w:t>
            </w:r>
          </w:p>
          <w:p w14:paraId="472AF230" w14:textId="77777777" w:rsidR="00B22607" w:rsidRPr="00B22607" w:rsidRDefault="00B22607" w:rsidP="00B22607">
            <w:pPr>
              <w:keepNext/>
              <w:spacing w:before="120" w:line="276" w:lineRule="auto"/>
              <w:jc w:val="both"/>
              <w:rPr>
                <w:rFonts w:eastAsia="Times New Roman" w:cstheme="minorHAnsi"/>
                <w:b/>
                <w:bCs/>
                <w:i/>
                <w:iCs/>
                <w:noProof/>
              </w:rPr>
            </w:pPr>
            <w:r w:rsidRPr="00B22607">
              <w:rPr>
                <w:rFonts w:eastAsia="Times New Roman" w:cstheme="minorHAnsi"/>
                <w:b/>
                <w:bCs/>
                <w:i/>
                <w:iCs/>
                <w:noProof/>
              </w:rPr>
              <w:lastRenderedPageBreak/>
              <w:t>Otseliini kaudu ja/või elektrienergia ostulepingute alusel tarnitava elektrienergia toetamine</w:t>
            </w:r>
          </w:p>
          <w:p w14:paraId="5599EB16" w14:textId="77777777" w:rsidR="00B22607" w:rsidRPr="00530228" w:rsidRDefault="00B22607" w:rsidP="00B22607">
            <w:pPr>
              <w:spacing w:before="120" w:line="276" w:lineRule="auto"/>
              <w:jc w:val="both"/>
              <w:rPr>
                <w:rFonts w:eastAsia="Times New Roman" w:cstheme="minorHAnsi"/>
                <w:noProof/>
              </w:rPr>
            </w:pPr>
            <w:r w:rsidRPr="00EF6CC6">
              <w:rPr>
                <w:rFonts w:eastAsia="Times New Roman" w:cstheme="minorHAnsi"/>
                <w:noProof/>
              </w:rPr>
              <w:t>Eelnõu järgne ELTS § 58 lg 2</w:t>
            </w:r>
            <w:r w:rsidRPr="00EF6CC6">
              <w:rPr>
                <w:rFonts w:eastAsia="Times New Roman" w:cstheme="minorHAnsi"/>
                <w:noProof/>
                <w:vertAlign w:val="superscript"/>
              </w:rPr>
              <w:t>3</w:t>
            </w:r>
            <w:r w:rsidRPr="00EF6CC6">
              <w:rPr>
                <w:rFonts w:eastAsia="Times New Roman" w:cstheme="minorHAnsi"/>
                <w:noProof/>
              </w:rPr>
              <w:t xml:space="preserve"> sätestaks, et elektrienergia kogus, mille eest makstakse §-s 59</w:t>
            </w:r>
            <w:r w:rsidRPr="00EF6CC6">
              <w:rPr>
                <w:rFonts w:eastAsia="Times New Roman" w:cstheme="minorHAnsi"/>
                <w:noProof/>
                <w:vertAlign w:val="superscript"/>
              </w:rPr>
              <w:t>4</w:t>
            </w:r>
            <w:r w:rsidRPr="00EF6CC6">
              <w:rPr>
                <w:rFonts w:eastAsia="Times New Roman" w:cstheme="minorHAnsi"/>
                <w:noProof/>
              </w:rPr>
              <w:t xml:space="preserve"> nimetatud toetust, määratakse kindlaks kauglugemisseadmega ning selleks loetakse tootja tootmisseadme kõikides liitumispunktides kokku kauplemisperioodi jooksul tegevusloa alusel tegutseva võrguettevõtja </w:t>
            </w:r>
            <w:r w:rsidRPr="00EF6CC6">
              <w:rPr>
                <w:rFonts w:eastAsia="Times New Roman" w:cstheme="minorHAnsi"/>
                <w:noProof/>
                <w:u w:val="single"/>
              </w:rPr>
              <w:t>võrku antud</w:t>
            </w:r>
            <w:r w:rsidRPr="00EF6CC6">
              <w:rPr>
                <w:rFonts w:eastAsia="Times New Roman" w:cstheme="minorHAnsi"/>
                <w:noProof/>
              </w:rPr>
              <w:t xml:space="preserve"> saldeeritud toodang. Eelnõu järgse ELTS § 59</w:t>
            </w:r>
            <w:r w:rsidRPr="00EF6CC6">
              <w:rPr>
                <w:rFonts w:eastAsia="Times New Roman" w:cstheme="minorHAnsi"/>
                <w:noProof/>
                <w:vertAlign w:val="superscript"/>
              </w:rPr>
              <w:t>4</w:t>
            </w:r>
            <w:r w:rsidRPr="00EF6CC6">
              <w:rPr>
                <w:rFonts w:eastAsia="Times New Roman" w:cstheme="minorHAnsi"/>
                <w:noProof/>
              </w:rPr>
              <w:t xml:space="preserve"> lg 11</w:t>
            </w:r>
            <w:r w:rsidRPr="00EF6CC6">
              <w:rPr>
                <w:rFonts w:eastAsia="Times New Roman" w:cstheme="minorHAnsi"/>
                <w:noProof/>
                <w:vertAlign w:val="superscript"/>
              </w:rPr>
              <w:t>2</w:t>
            </w:r>
            <w:r w:rsidRPr="00EF6CC6">
              <w:rPr>
                <w:rFonts w:eastAsia="Times New Roman" w:cstheme="minorHAnsi"/>
                <w:noProof/>
              </w:rPr>
              <w:t xml:space="preserve"> kohaselt: </w:t>
            </w:r>
            <w:r w:rsidRPr="00EF6CC6">
              <w:rPr>
                <w:rFonts w:eastAsia="Times New Roman" w:cstheme="minorHAnsi"/>
                <w:i/>
                <w:iCs/>
                <w:noProof/>
              </w:rPr>
              <w:t xml:space="preserve">„Kui tootja toodab peale käesoleva paragrahvi lõikes 11 nimetatud korralduses märgitud tootmise alustamise tähtpäeva tegevusloa alusel tegutseva </w:t>
            </w:r>
            <w:r w:rsidRPr="00EF6CC6">
              <w:rPr>
                <w:rFonts w:eastAsia="Times New Roman" w:cstheme="minorHAnsi"/>
                <w:i/>
                <w:iCs/>
                <w:noProof/>
                <w:u w:val="single"/>
              </w:rPr>
              <w:t>võrguettevõtja võrku</w:t>
            </w:r>
            <w:r w:rsidRPr="00EF6CC6">
              <w:rPr>
                <w:rFonts w:eastAsia="Times New Roman" w:cstheme="minorHAnsi"/>
                <w:i/>
                <w:iCs/>
                <w:noProof/>
              </w:rPr>
              <w:t xml:space="preserve"> elektrienergiat 12 kuu jooksul vähem kui 60 protsendi ulatuses korralduses märgitud aastasest mahust, peatatakse toetuse maksed tootjale puuduse tuvastamisest arvates, kuni tootmisseade on kuni 12 kuu jooksul tootnud tegevusloa alusel tegutseva </w:t>
            </w:r>
            <w:r w:rsidRPr="00EF6CC6">
              <w:rPr>
                <w:rFonts w:eastAsia="Times New Roman" w:cstheme="minorHAnsi"/>
                <w:i/>
                <w:iCs/>
                <w:noProof/>
                <w:u w:val="single"/>
              </w:rPr>
              <w:t>võrguettevõtja võrku</w:t>
            </w:r>
            <w:r w:rsidRPr="00EF6CC6">
              <w:rPr>
                <w:rFonts w:eastAsia="Times New Roman" w:cstheme="minorHAnsi"/>
                <w:i/>
                <w:iCs/>
                <w:noProof/>
              </w:rPr>
              <w:t xml:space="preserve"> vähemalt 60% ulatuses korralduses märgitud aastasest mahust. Tootja kaotab õiguse saada toetust selle perioodi eest, millal toetuse maksed olid lõike esimese lause alusel peatatud.“ </w:t>
            </w:r>
            <w:r w:rsidRPr="00EF6CC6">
              <w:rPr>
                <w:rFonts w:eastAsia="Times New Roman" w:cstheme="minorHAnsi"/>
                <w:noProof/>
              </w:rPr>
              <w:t>ELTS § 59</w:t>
            </w:r>
            <w:r w:rsidRPr="00EF6CC6">
              <w:rPr>
                <w:rFonts w:eastAsia="Times New Roman" w:cstheme="minorHAnsi"/>
                <w:noProof/>
                <w:vertAlign w:val="superscript"/>
              </w:rPr>
              <w:t>10</w:t>
            </w:r>
            <w:r w:rsidRPr="00EF6CC6">
              <w:rPr>
                <w:rFonts w:eastAsia="Times New Roman" w:cstheme="minorHAnsi"/>
                <w:noProof/>
              </w:rPr>
              <w:t xml:space="preserve"> lg 7 sätestaks meretuulepargi vähempakkumiste kohta veel ka eraldi, et </w:t>
            </w:r>
            <w:r w:rsidRPr="00EF6CC6">
              <w:rPr>
                <w:rFonts w:eastAsia="Times New Roman" w:cstheme="minorHAnsi"/>
                <w:i/>
                <w:iCs/>
                <w:noProof/>
              </w:rPr>
              <w:t>„toetust arvestatakse vähempakkumise võitnud tootmisseadmest käesoleva seaduse § 58 lõike 2</w:t>
            </w:r>
            <w:r w:rsidRPr="00EF6CC6">
              <w:rPr>
                <w:rFonts w:eastAsia="Times New Roman" w:cstheme="minorHAnsi"/>
                <w:i/>
                <w:iCs/>
                <w:noProof/>
                <w:vertAlign w:val="superscript"/>
              </w:rPr>
              <w:t>3</w:t>
            </w:r>
            <w:r w:rsidRPr="00EF6CC6">
              <w:rPr>
                <w:rFonts w:eastAsia="Times New Roman" w:cstheme="minorHAnsi"/>
                <w:i/>
                <w:iCs/>
                <w:noProof/>
              </w:rPr>
              <w:t xml:space="preserve"> kohaselt </w:t>
            </w:r>
            <w:r w:rsidRPr="00EF6CC6">
              <w:rPr>
                <w:rFonts w:eastAsia="Times New Roman" w:cstheme="minorHAnsi"/>
                <w:i/>
                <w:iCs/>
                <w:noProof/>
                <w:u w:val="single"/>
              </w:rPr>
              <w:t>võrku antud</w:t>
            </w:r>
            <w:r w:rsidRPr="00EF6CC6">
              <w:rPr>
                <w:rFonts w:eastAsia="Times New Roman" w:cstheme="minorHAnsi"/>
                <w:i/>
                <w:iCs/>
                <w:noProof/>
              </w:rPr>
              <w:t xml:space="preserve"> elektrienergia koguse eest ning bilansiplaanis kajastatud elektrienergia koguse eest, mis jäi võrku andmata, kuna süsteemihaldur aktiveeris tootmiskoguse vähendamise korralduse kuni käesoleva seaduse § 59</w:t>
            </w:r>
            <w:r w:rsidRPr="00EF6CC6">
              <w:rPr>
                <w:rFonts w:eastAsia="Times New Roman" w:cstheme="minorHAnsi"/>
                <w:i/>
                <w:iCs/>
                <w:noProof/>
                <w:vertAlign w:val="superscript"/>
              </w:rPr>
              <w:t>4</w:t>
            </w:r>
            <w:r w:rsidRPr="00EF6CC6">
              <w:rPr>
                <w:rFonts w:eastAsia="Times New Roman" w:cstheme="minorHAnsi"/>
                <w:i/>
                <w:iCs/>
                <w:noProof/>
              </w:rPr>
              <w:t xml:space="preserve"> lõikes 11 nimetatud korralduses märgitud aastase toetusaluse elektrienergia koguse täitumiseni.“</w:t>
            </w:r>
          </w:p>
          <w:p w14:paraId="0CDC880E" w14:textId="77777777" w:rsidR="00B22607" w:rsidRDefault="00B22607" w:rsidP="00B22607">
            <w:pPr>
              <w:spacing w:before="120" w:line="276" w:lineRule="auto"/>
              <w:jc w:val="both"/>
              <w:rPr>
                <w:rFonts w:eastAsia="Times New Roman" w:cstheme="minorHAnsi"/>
                <w:i/>
                <w:iCs/>
                <w:noProof/>
              </w:rPr>
            </w:pPr>
            <w:r w:rsidRPr="00FD6F19">
              <w:rPr>
                <w:rFonts w:eastAsia="Times New Roman" w:cstheme="minorHAnsi"/>
                <w:noProof/>
              </w:rPr>
              <w:t xml:space="preserve">Eelnõu seletuskirja lk 2 on märgitud: </w:t>
            </w:r>
            <w:r w:rsidRPr="00FD6F19">
              <w:rPr>
                <w:rFonts w:eastAsia="Times New Roman" w:cstheme="minorHAnsi"/>
                <w:i/>
                <w:iCs/>
                <w:noProof/>
              </w:rPr>
              <w:t xml:space="preserve">„Maismaatuuleparkide puhul ei tohi väljamakstav toetus olla suurem kui 20 eurot ja meretuuleparkide puhul 65 eurot toodetud ja </w:t>
            </w:r>
            <w:r w:rsidRPr="00FD6F19">
              <w:rPr>
                <w:rFonts w:eastAsia="Times New Roman" w:cstheme="minorHAnsi"/>
                <w:i/>
                <w:iCs/>
                <w:noProof/>
                <w:u w:val="single"/>
              </w:rPr>
              <w:t>võrku antud</w:t>
            </w:r>
            <w:r w:rsidRPr="00FD6F19">
              <w:rPr>
                <w:rFonts w:eastAsia="Times New Roman" w:cstheme="minorHAnsi"/>
                <w:i/>
                <w:iCs/>
                <w:noProof/>
              </w:rPr>
              <w:t xml:space="preserve"> megavatt-tunni eest.“ </w:t>
            </w:r>
            <w:r w:rsidRPr="00FD6F19">
              <w:rPr>
                <w:rFonts w:eastAsia="Times New Roman" w:cstheme="minorHAnsi"/>
                <w:noProof/>
              </w:rPr>
              <w:t xml:space="preserve">Eelnõu seletuskirja lk 4 on täiendatud: </w:t>
            </w:r>
            <w:r w:rsidRPr="00FD6F19">
              <w:rPr>
                <w:rFonts w:eastAsia="Times New Roman" w:cstheme="minorHAnsi"/>
                <w:i/>
                <w:iCs/>
                <w:noProof/>
              </w:rPr>
              <w:t xml:space="preserve">„Eesmärk on tagada toetuse maksmine </w:t>
            </w:r>
            <w:r w:rsidRPr="00FD6F19">
              <w:rPr>
                <w:rFonts w:eastAsia="Times New Roman" w:cstheme="minorHAnsi"/>
                <w:i/>
                <w:iCs/>
                <w:noProof/>
                <w:u w:val="single"/>
              </w:rPr>
              <w:t>üksnes otse turule müüdud ehk tegevusloa alusel tegutseva võrguettevõtja võrku antud</w:t>
            </w:r>
            <w:r w:rsidRPr="00FD6F19">
              <w:rPr>
                <w:rFonts w:eastAsia="Times New Roman" w:cstheme="minorHAnsi"/>
                <w:i/>
                <w:iCs/>
                <w:noProof/>
              </w:rPr>
              <w:t xml:space="preserve"> elektrienergia pealt. Nii Euroopa Komisjoni suuniste „Kliima-, keskkonnakaitse- ja energiaalase riigiabi suunised alates aastast 2022“  punkti 123 kui ka „Riigiabimeetmete ajutine kriisi- ja üleminekuraamistik majanduse toetamiseks pärast Venemaa kallaletungi Ukrainale“ punkti 78i kohaselt peab abi eesmärk olema hoida ära turgude tõhusa toimimise põhjendamatut moonutamist ning eelkõige säilitada tõhusad tegevusstiimulid ja hinnasignaalid. </w:t>
            </w:r>
            <w:r w:rsidRPr="00FD6F19">
              <w:rPr>
                <w:rFonts w:eastAsia="Times New Roman" w:cstheme="minorHAnsi"/>
                <w:i/>
                <w:iCs/>
                <w:noProof/>
                <w:u w:val="single"/>
              </w:rPr>
              <w:t>Muu hulgas peaksid abisaajad olema avatud hinnakõikumistele ja tururiskidele, seega on eelduseks toodetud elektri turul müümise nõue</w:t>
            </w:r>
            <w:r w:rsidRPr="00FD6F19">
              <w:rPr>
                <w:rFonts w:eastAsia="Times New Roman" w:cstheme="minorHAnsi"/>
                <w:i/>
                <w:iCs/>
                <w:noProof/>
              </w:rPr>
              <w:t>. Põhimõte, et abisaajad müüvad oma elektrit otse turul, on reguleeritud ka grupierandi määruse artikli 42 lõigetes 5 ja 6.“</w:t>
            </w:r>
            <w:r>
              <w:rPr>
                <w:rFonts w:eastAsia="Times New Roman" w:cstheme="minorHAnsi"/>
                <w:i/>
                <w:iCs/>
                <w:noProof/>
              </w:rPr>
              <w:t xml:space="preserve"> </w:t>
            </w:r>
            <w:r w:rsidRPr="00FD6F19">
              <w:rPr>
                <w:rFonts w:eastAsia="Times New Roman" w:cstheme="minorHAnsi"/>
                <w:noProof/>
              </w:rPr>
              <w:t xml:space="preserve">Eelnõu seletuskirja lk 5 on välja toodud: </w:t>
            </w:r>
            <w:r w:rsidRPr="00FD6F19">
              <w:rPr>
                <w:rFonts w:eastAsia="Times New Roman" w:cstheme="minorHAnsi"/>
                <w:i/>
                <w:iCs/>
                <w:noProof/>
              </w:rPr>
              <w:t xml:space="preserve">„Valitsuse korraldusega määratakse nii maismaa- kui ka meretuuleparkide toetuse maksimaalne summa </w:t>
            </w:r>
            <w:r w:rsidRPr="00FD6F19">
              <w:rPr>
                <w:rFonts w:eastAsia="Times New Roman" w:cstheme="minorHAnsi"/>
                <w:i/>
                <w:iCs/>
                <w:noProof/>
                <w:u w:val="single"/>
              </w:rPr>
              <w:t>võrku antava</w:t>
            </w:r>
            <w:r w:rsidRPr="00FD6F19">
              <w:rPr>
                <w:rFonts w:eastAsia="Times New Roman" w:cstheme="minorHAnsi"/>
                <w:i/>
                <w:iCs/>
                <w:noProof/>
              </w:rPr>
              <w:t xml:space="preserve"> taastuvelektri eest, kuid see ei tohi ületada maismaal 20 eurot ja meretuuleparkide puhul 65 eurot megavatt-tunni eest.“</w:t>
            </w:r>
          </w:p>
          <w:p w14:paraId="035C4B7E" w14:textId="77777777" w:rsidR="00B22607" w:rsidRDefault="00B22607" w:rsidP="00B22607">
            <w:pPr>
              <w:spacing w:before="120" w:line="276" w:lineRule="auto"/>
              <w:jc w:val="both"/>
              <w:rPr>
                <w:rFonts w:eastAsia="Times New Roman" w:cstheme="minorHAnsi"/>
                <w:noProof/>
              </w:rPr>
            </w:pPr>
            <w:r>
              <w:rPr>
                <w:rFonts w:eastAsia="Times New Roman" w:cstheme="minorHAnsi"/>
                <w:noProof/>
              </w:rPr>
              <w:lastRenderedPageBreak/>
              <w:t xml:space="preserve">Leiame, et eelviidatud mõttekäigud ja põhjendused on vastuolulised ning segadusttekitavad. </w:t>
            </w:r>
            <w:r w:rsidRPr="00FD6F19">
              <w:rPr>
                <w:rFonts w:eastAsia="Times New Roman" w:cstheme="minorHAnsi"/>
                <w:noProof/>
              </w:rPr>
              <w:t xml:space="preserve">Palume täpsustada, mida tähendab eelnõus läbivalt kasutatud konsruktsioon, justkui toetust arvestatakse üksnes otse turule müüdud </w:t>
            </w:r>
            <w:r>
              <w:rPr>
                <w:rFonts w:eastAsia="Times New Roman" w:cstheme="minorHAnsi"/>
                <w:noProof/>
              </w:rPr>
              <w:t>„</w:t>
            </w:r>
            <w:r w:rsidRPr="00FD6F19">
              <w:rPr>
                <w:rFonts w:eastAsia="Times New Roman" w:cstheme="minorHAnsi"/>
                <w:noProof/>
              </w:rPr>
              <w:t>ehk</w:t>
            </w:r>
            <w:r>
              <w:rPr>
                <w:rFonts w:eastAsia="Times New Roman" w:cstheme="minorHAnsi"/>
                <w:noProof/>
              </w:rPr>
              <w:t>“</w:t>
            </w:r>
            <w:r w:rsidRPr="00FD6F19">
              <w:rPr>
                <w:rFonts w:eastAsia="Times New Roman" w:cstheme="minorHAnsi"/>
                <w:noProof/>
              </w:rPr>
              <w:t xml:space="preserve"> tegevusloa alusel tegutseva võrguettevõtja võrku antud elektrienergia koguse eest.</w:t>
            </w:r>
            <w:r>
              <w:rPr>
                <w:rFonts w:eastAsia="Times New Roman" w:cstheme="minorHAnsi"/>
                <w:noProof/>
              </w:rPr>
              <w:t xml:space="preserve"> </w:t>
            </w:r>
          </w:p>
          <w:p w14:paraId="06C8E26A" w14:textId="77777777" w:rsidR="00B22607" w:rsidRDefault="00B22607" w:rsidP="00B22607">
            <w:pPr>
              <w:spacing w:before="120" w:line="276" w:lineRule="auto"/>
              <w:jc w:val="both"/>
              <w:rPr>
                <w:rFonts w:eastAsia="Times New Roman" w:cstheme="minorHAnsi"/>
                <w:noProof/>
              </w:rPr>
            </w:pPr>
            <w:r w:rsidRPr="006A315E">
              <w:rPr>
                <w:rFonts w:eastAsia="Times New Roman" w:cstheme="minorHAnsi"/>
                <w:noProof/>
              </w:rPr>
              <w:t xml:space="preserve">Eelkõige on küsimus, kas Kliimaministeeriumi eesmärk on (ja kui on, siis miks) välistada toetatava elektrienergia koguse alt näiteks otseliini kaudu </w:t>
            </w:r>
            <w:r>
              <w:rPr>
                <w:rFonts w:eastAsia="Times New Roman" w:cstheme="minorHAnsi"/>
                <w:noProof/>
              </w:rPr>
              <w:t xml:space="preserve">tarnitav </w:t>
            </w:r>
            <w:r w:rsidRPr="006A315E">
              <w:rPr>
                <w:rFonts w:eastAsia="Times New Roman" w:cstheme="minorHAnsi"/>
                <w:noProof/>
              </w:rPr>
              <w:t>ja/või elektriostulepingute (</w:t>
            </w:r>
            <w:r w:rsidRPr="006A315E">
              <w:rPr>
                <w:rFonts w:eastAsia="Times New Roman" w:cstheme="minorHAnsi"/>
                <w:b/>
                <w:bCs/>
                <w:noProof/>
              </w:rPr>
              <w:t>„PPA“</w:t>
            </w:r>
            <w:r w:rsidRPr="006A315E">
              <w:rPr>
                <w:rFonts w:eastAsia="Times New Roman" w:cstheme="minorHAnsi"/>
                <w:noProof/>
              </w:rPr>
              <w:t xml:space="preserve">) alusel </w:t>
            </w:r>
            <w:r>
              <w:rPr>
                <w:rFonts w:eastAsia="Times New Roman" w:cstheme="minorHAnsi"/>
                <w:noProof/>
              </w:rPr>
              <w:t>müüdav</w:t>
            </w:r>
            <w:r w:rsidRPr="006A315E">
              <w:rPr>
                <w:rFonts w:eastAsia="Times New Roman" w:cstheme="minorHAnsi"/>
                <w:noProof/>
              </w:rPr>
              <w:t xml:space="preserve"> elektrienergia. Hetkel kehtiva ELTS-i järgi rakendatakse taastuvenergia toetusskeeme ka otseliini antavale elektrieenergiale (vt nt ELTS § 108 lg 3) ning ka taastuvenergia tasu rakendub otseliini kaudu tarbitud elektrienergiale (vt nt ELTS § 59</w:t>
            </w:r>
            <w:r w:rsidRPr="006A315E">
              <w:rPr>
                <w:rFonts w:eastAsia="Times New Roman" w:cstheme="minorHAnsi"/>
                <w:noProof/>
                <w:vertAlign w:val="superscript"/>
              </w:rPr>
              <w:t>2</w:t>
            </w:r>
            <w:r w:rsidRPr="006A315E">
              <w:rPr>
                <w:rFonts w:eastAsia="Times New Roman" w:cstheme="minorHAnsi"/>
                <w:noProof/>
              </w:rPr>
              <w:t xml:space="preserve"> lg 5). Niisamuti ei ole meile arusaadavalt ELTS-is toetusskeemide alt välistatud PPA-de alusel müüdav elektrienergia kogus.</w:t>
            </w:r>
            <w:r>
              <w:rPr>
                <w:rFonts w:eastAsia="Times New Roman" w:cstheme="minorHAnsi"/>
                <w:noProof/>
              </w:rPr>
              <w:t xml:space="preserve"> </w:t>
            </w:r>
          </w:p>
          <w:p w14:paraId="63A2B47A" w14:textId="77777777" w:rsidR="00B22607" w:rsidRDefault="00B22607" w:rsidP="00B22607">
            <w:pPr>
              <w:spacing w:before="120" w:line="276" w:lineRule="auto"/>
              <w:jc w:val="both"/>
              <w:rPr>
                <w:rFonts w:eastAsia="Times New Roman" w:cstheme="minorHAnsi"/>
                <w:i/>
                <w:iCs/>
                <w:noProof/>
              </w:rPr>
            </w:pPr>
            <w:r w:rsidRPr="00981D74">
              <w:rPr>
                <w:rFonts w:eastAsia="Times New Roman" w:cstheme="minorHAnsi"/>
                <w:noProof/>
              </w:rPr>
              <w:t xml:space="preserve">Eelnõu seletuskirjas viidatud suuniste p 123 sätestab: </w:t>
            </w:r>
            <w:r w:rsidRPr="00981D74">
              <w:rPr>
                <w:rFonts w:eastAsia="Times New Roman" w:cstheme="minorHAnsi"/>
                <w:i/>
                <w:iCs/>
                <w:noProof/>
              </w:rPr>
              <w:t xml:space="preserve">„Abi kavandamisel tuleb seada eesmärk vältida turgude tõhusa toimimise põhjendamatut moonutamist ning eelkõige säilitada tõhusad tegevusstiimulid ja hinnasignaalid. Näiteks peaksid abisaajad olema jätkuvalt avatud hinnakõikumistele ja tururiskidele, välja arvatud juhul, kui see kahjustab abi eesmärgi saavutamist. Eelkõige ei tohiks abisaajaid motiveerida pakkuma oma toodangut piirkuludest madalama hinnaga ja nad ei või saada tootmistoetust perioodidel, mil kõnealuse toodangu turuväärtus on negatiivne.“ </w:t>
            </w:r>
            <w:r w:rsidRPr="00981D74">
              <w:rPr>
                <w:rFonts w:eastAsia="Times New Roman" w:cstheme="minorHAnsi"/>
                <w:noProof/>
              </w:rPr>
              <w:t xml:space="preserve">TCTF-i p-s 78i on selgitatud, et </w:t>
            </w:r>
            <w:r w:rsidRPr="00981D74">
              <w:rPr>
                <w:rFonts w:eastAsia="Times New Roman" w:cstheme="minorHAnsi"/>
                <w:i/>
                <w:iCs/>
                <w:noProof/>
              </w:rPr>
              <w:t xml:space="preserve">„abi eesmärk peab olema hoida ära turgude tõhusa toimimise põhjendamatut moonutamist ning eelkõige säilitada tõhusad tegevusstiimulid ja hinnasignaalid. Eelkõige ei tohiks abisaajatele luua stiimuleid oma toodangu pakkumiseks piirkuludest madalama hinnaga ning nad ei tohiks saada tootmiseks abi ajavahemikul, mil selle toodangu turuväärtus on negatiivne.“ </w:t>
            </w:r>
            <w:r w:rsidRPr="00981D74">
              <w:rPr>
                <w:rFonts w:eastAsia="Times New Roman" w:cstheme="minorHAnsi"/>
                <w:noProof/>
              </w:rPr>
              <w:t>Euroopa Komisjoni määruse nr 651/2014, ELi aluslepingu artiklite 107 ja 108 kohaldamise kohta, millega teatavat liiki abi tunnistatakse siseturuga kokkusobivaks (</w:t>
            </w:r>
            <w:r w:rsidRPr="00981D74">
              <w:rPr>
                <w:rFonts w:eastAsia="Times New Roman" w:cstheme="minorHAnsi"/>
                <w:b/>
                <w:bCs/>
                <w:noProof/>
              </w:rPr>
              <w:t>„grupierandi määrus“</w:t>
            </w:r>
            <w:r w:rsidRPr="00981D74">
              <w:rPr>
                <w:rFonts w:eastAsia="Times New Roman" w:cstheme="minorHAnsi"/>
                <w:noProof/>
              </w:rPr>
              <w:t xml:space="preserve">) art 42 lg 5 ja 6 sätestavad, et  </w:t>
            </w:r>
            <w:r w:rsidRPr="00981D74">
              <w:rPr>
                <w:rFonts w:eastAsia="Times New Roman" w:cstheme="minorHAnsi"/>
                <w:i/>
                <w:iCs/>
                <w:noProof/>
              </w:rPr>
              <w:t>„abi antakse lisatasuna, mis lisandub turuhinnale, või hinnavahelepinguna, millega tootjad müüvad oma elektrit otse turul.“ ja „abisaajad müüvad oma elektrit otse turul ja nende suhtes kohaldatakse standardseid tasakaalustamiskohustusi. Abisaajad võivad oma tasakaalustamiskohustused edasi anda teistele ettevõtjatele, näiteks vahendajatele. Lisaks ei anta abi ajavahemikel, kui hinnad on negatiivsed. Kahtluste vältimiseks kohaldatakse seda nõuet alates hetkest, kui hinnad muutuvad negatiivseks.“</w:t>
            </w:r>
            <w:r>
              <w:rPr>
                <w:rFonts w:eastAsia="Times New Roman" w:cstheme="minorHAnsi"/>
                <w:i/>
                <w:iCs/>
                <w:noProof/>
              </w:rPr>
              <w:t xml:space="preserve"> </w:t>
            </w:r>
          </w:p>
          <w:p w14:paraId="73F2A075" w14:textId="77777777" w:rsidR="00B22607" w:rsidRDefault="00B22607" w:rsidP="00B22607">
            <w:pPr>
              <w:spacing w:before="120" w:line="276" w:lineRule="auto"/>
              <w:jc w:val="both"/>
              <w:rPr>
                <w:rFonts w:eastAsia="Times New Roman" w:cstheme="minorHAnsi"/>
                <w:noProof/>
              </w:rPr>
            </w:pPr>
            <w:r w:rsidRPr="00981D74">
              <w:rPr>
                <w:rFonts w:eastAsia="Times New Roman" w:cstheme="minorHAnsi"/>
                <w:noProof/>
              </w:rPr>
              <w:t xml:space="preserve">Ükski viidatud norm ei välista </w:t>
            </w:r>
            <w:r>
              <w:rPr>
                <w:rFonts w:eastAsia="Times New Roman" w:cstheme="minorHAnsi"/>
                <w:noProof/>
              </w:rPr>
              <w:t xml:space="preserve">vastupidiselt eelnõu seletuskirjas justkui järeldatule </w:t>
            </w:r>
            <w:r w:rsidRPr="00981D74">
              <w:rPr>
                <w:rFonts w:eastAsia="Times New Roman" w:cstheme="minorHAnsi"/>
                <w:noProof/>
              </w:rPr>
              <w:t>toetuse arvestuse alt otseliini kaudu tarnitavat ja/või PPA-de alusel müüdavat elektrienergia kogust. Teisisõnu ei näe me, et pakkujal peaks olema kohustus müüa toetatavat elektrienergia kogust tingimata börsil ning peaks olema keelatud müüa elektrit börsiväliselt (ka PPA-d on avatud tüüpiliselt turukõikumistele).</w:t>
            </w:r>
            <w:r>
              <w:rPr>
                <w:rFonts w:eastAsia="Times New Roman" w:cstheme="minorHAnsi"/>
                <w:noProof/>
              </w:rPr>
              <w:t xml:space="preserve"> </w:t>
            </w:r>
          </w:p>
          <w:p w14:paraId="367E2B07" w14:textId="0468A86B" w:rsidR="0026254F" w:rsidRPr="004E196B" w:rsidRDefault="00B22607" w:rsidP="0026254F">
            <w:pPr>
              <w:spacing w:before="120" w:line="276" w:lineRule="auto"/>
              <w:jc w:val="both"/>
              <w:rPr>
                <w:rFonts w:eastAsia="Times New Roman" w:cstheme="minorHAnsi"/>
                <w:b/>
                <w:bCs/>
                <w:noProof/>
              </w:rPr>
            </w:pPr>
            <w:r w:rsidRPr="00430B6C">
              <w:rPr>
                <w:rFonts w:eastAsia="Times New Roman" w:cstheme="minorHAnsi"/>
                <w:b/>
                <w:bCs/>
                <w:noProof/>
              </w:rPr>
              <w:t xml:space="preserve">Seega palume eelnõud </w:t>
            </w:r>
            <w:r>
              <w:rPr>
                <w:rFonts w:eastAsia="Times New Roman" w:cstheme="minorHAnsi"/>
                <w:b/>
                <w:bCs/>
                <w:noProof/>
              </w:rPr>
              <w:t xml:space="preserve">ja seletuskirja </w:t>
            </w:r>
            <w:r w:rsidRPr="00430B6C">
              <w:rPr>
                <w:rFonts w:eastAsia="Times New Roman" w:cstheme="minorHAnsi"/>
                <w:b/>
                <w:bCs/>
                <w:noProof/>
              </w:rPr>
              <w:t>täpsustada ning mitte välistada toetatava elektrienergia koguse alt otseliini kaudu tarnitavat ja/või PPA-de alusel müüdavat elektrienergia kogust.</w:t>
            </w:r>
            <w:r w:rsidRPr="0042111D">
              <w:rPr>
                <w:rFonts w:eastAsia="Times New Roman" w:cstheme="minorHAnsi"/>
                <w:b/>
                <w:bCs/>
                <w:noProof/>
              </w:rPr>
              <w:t xml:space="preserve"> </w:t>
            </w:r>
          </w:p>
        </w:tc>
        <w:tc>
          <w:tcPr>
            <w:tcW w:w="3282" w:type="dxa"/>
          </w:tcPr>
          <w:p w14:paraId="1631BE7E" w14:textId="33296630" w:rsidR="00E504CC" w:rsidRPr="00797EDC" w:rsidRDefault="00495700" w:rsidP="00E504CC">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Selgitame</w:t>
            </w:r>
          </w:p>
          <w:p w14:paraId="7D44B0D6" w14:textId="0232F8F7" w:rsidR="69ACF809" w:rsidRDefault="69ACF809" w:rsidP="69ACF809">
            <w:pPr>
              <w:pStyle w:val="Loendilik"/>
              <w:ind w:left="-23"/>
              <w:jc w:val="both"/>
              <w:rPr>
                <w:rFonts w:ascii="Times New Roman" w:eastAsia="Calibri" w:hAnsi="Times New Roman" w:cs="Times New Roman"/>
                <w:b/>
                <w:bCs/>
                <w:sz w:val="24"/>
                <w:szCs w:val="24"/>
              </w:rPr>
            </w:pPr>
          </w:p>
          <w:p w14:paraId="0D315D01" w14:textId="26A24470" w:rsidR="00495700" w:rsidRPr="00153228" w:rsidRDefault="00495700" w:rsidP="69ACF809">
            <w:pPr>
              <w:pStyle w:val="Loendilik"/>
              <w:ind w:left="-2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Toetust arvestatakse uue taastuvelektri tootmisrajatise poolt Eesti võrku antava elektrienergia hulgale </w:t>
            </w:r>
            <w:r w:rsidR="00E7726E" w:rsidRPr="006514B5">
              <w:rPr>
                <w:rFonts w:ascii="Times New Roman" w:eastAsia="Calibri" w:hAnsi="Times New Roman" w:cs="Times New Roman"/>
                <w:sz w:val="24"/>
                <w:szCs w:val="24"/>
              </w:rPr>
              <w:t xml:space="preserve">ilma seejuures välistamata </w:t>
            </w:r>
            <w:r w:rsidR="00E7726E" w:rsidRPr="006514B5">
              <w:rPr>
                <w:rFonts w:ascii="Times New Roman" w:eastAsia="Calibri" w:hAnsi="Times New Roman" w:cs="Times New Roman"/>
                <w:sz w:val="24"/>
                <w:szCs w:val="24"/>
              </w:rPr>
              <w:lastRenderedPageBreak/>
              <w:t xml:space="preserve">elektrienergia </w:t>
            </w:r>
            <w:r w:rsidR="00E7726E">
              <w:rPr>
                <w:rFonts w:ascii="Times New Roman" w:eastAsia="Calibri" w:hAnsi="Times New Roman" w:cs="Times New Roman"/>
                <w:sz w:val="24"/>
                <w:szCs w:val="24"/>
              </w:rPr>
              <w:t xml:space="preserve">edastamise </w:t>
            </w:r>
            <w:r w:rsidR="00E7726E" w:rsidRPr="006514B5">
              <w:rPr>
                <w:rFonts w:ascii="Times New Roman" w:eastAsia="Calibri" w:hAnsi="Times New Roman" w:cs="Times New Roman"/>
                <w:sz w:val="24"/>
                <w:szCs w:val="24"/>
              </w:rPr>
              <w:t xml:space="preserve">otseostulepingute kaudu määratud tarnetena või ELTS </w:t>
            </w:r>
            <w:r w:rsidR="00E7726E" w:rsidRPr="006514B5">
              <w:rPr>
                <w:rFonts w:ascii="Times New Roman" w:hAnsi="Times New Roman" w:cs="Times New Roman"/>
                <w:sz w:val="24"/>
                <w:szCs w:val="24"/>
              </w:rPr>
              <w:t>paragrahvi 61 lõike 1 punktis 1 sätestatud otseliini</w:t>
            </w:r>
            <w:r w:rsidR="00E7726E" w:rsidRPr="006514B5">
              <w:rPr>
                <w:rFonts w:ascii="Times New Roman" w:eastAsia="Calibri" w:hAnsi="Times New Roman" w:cs="Times New Roman"/>
                <w:sz w:val="24"/>
                <w:szCs w:val="24"/>
              </w:rPr>
              <w:t>.</w:t>
            </w:r>
          </w:p>
          <w:p w14:paraId="1E7C4671" w14:textId="0E356E37" w:rsidR="0026254F" w:rsidRPr="00797EDC" w:rsidRDefault="4876C1AC" w:rsidP="013F8064">
            <w:pPr>
              <w:pStyle w:val="Loendilik"/>
              <w:ind w:left="-23"/>
              <w:jc w:val="both"/>
              <w:rPr>
                <w:rFonts w:ascii="Times New Roman" w:eastAsia="Calibri" w:hAnsi="Times New Roman" w:cs="Times New Roman"/>
                <w:sz w:val="24"/>
                <w:szCs w:val="24"/>
              </w:rPr>
            </w:pPr>
            <w:r w:rsidRPr="013F8064">
              <w:rPr>
                <w:rFonts w:ascii="Times New Roman" w:eastAsia="Calibri" w:hAnsi="Times New Roman" w:cs="Times New Roman"/>
                <w:sz w:val="24"/>
                <w:szCs w:val="24"/>
              </w:rPr>
              <w:t xml:space="preserve"> </w:t>
            </w:r>
          </w:p>
          <w:p w14:paraId="1DDF6E2B" w14:textId="71AC9DF4" w:rsidR="0026254F" w:rsidRPr="00797EDC" w:rsidRDefault="0026254F" w:rsidP="013F8064">
            <w:pPr>
              <w:pStyle w:val="Loendilik"/>
              <w:ind w:left="-23"/>
              <w:jc w:val="both"/>
              <w:rPr>
                <w:rFonts w:ascii="Times New Roman" w:eastAsia="Calibri" w:hAnsi="Times New Roman" w:cs="Times New Roman"/>
                <w:sz w:val="24"/>
                <w:szCs w:val="24"/>
              </w:rPr>
            </w:pPr>
          </w:p>
          <w:p w14:paraId="21458B3B" w14:textId="1B35FBB5" w:rsidR="0026254F" w:rsidRPr="00797EDC" w:rsidRDefault="0026254F" w:rsidP="1FD60553">
            <w:pPr>
              <w:pStyle w:val="Loendilik"/>
              <w:ind w:left="-23"/>
              <w:jc w:val="both"/>
              <w:rPr>
                <w:rFonts w:ascii="Times New Roman" w:eastAsia="Calibri" w:hAnsi="Times New Roman" w:cs="Times New Roman"/>
                <w:b/>
                <w:bCs/>
                <w:sz w:val="24"/>
                <w:szCs w:val="24"/>
              </w:rPr>
            </w:pPr>
          </w:p>
        </w:tc>
      </w:tr>
      <w:tr w:rsidR="00B22607" w:rsidRPr="005C0F32" w14:paraId="3E2D9F36" w14:textId="77777777" w:rsidTr="3199B330">
        <w:trPr>
          <w:trHeight w:val="300"/>
        </w:trPr>
        <w:tc>
          <w:tcPr>
            <w:tcW w:w="10710" w:type="dxa"/>
          </w:tcPr>
          <w:p w14:paraId="72F17034" w14:textId="336A746D" w:rsidR="007B3C11" w:rsidRDefault="007B3C11" w:rsidP="00A05AF0">
            <w:pPr>
              <w:spacing w:before="120" w:line="276" w:lineRule="auto"/>
              <w:jc w:val="both"/>
              <w:rPr>
                <w:rFonts w:eastAsia="Calibri" w:cstheme="minorHAnsi"/>
                <w:b/>
                <w:bCs/>
                <w:i/>
                <w:iCs/>
              </w:rPr>
            </w:pPr>
            <w:r>
              <w:rPr>
                <w:rFonts w:eastAsia="Times New Roman" w:cstheme="minorHAnsi"/>
                <w:b/>
                <w:bCs/>
                <w:noProof/>
              </w:rPr>
              <w:lastRenderedPageBreak/>
              <w:t xml:space="preserve">täpsustada </w:t>
            </w:r>
            <w:r w:rsidRPr="004E196B">
              <w:rPr>
                <w:rFonts w:eastAsia="Times New Roman" w:cstheme="minorHAnsi"/>
                <w:b/>
                <w:bCs/>
                <w:noProof/>
              </w:rPr>
              <w:t>ELTS-i</w:t>
            </w:r>
            <w:r>
              <w:rPr>
                <w:rFonts w:eastAsia="Times New Roman" w:cstheme="minorHAnsi"/>
                <w:b/>
                <w:bCs/>
                <w:noProof/>
              </w:rPr>
              <w:t>s</w:t>
            </w:r>
            <w:r w:rsidRPr="004E196B">
              <w:rPr>
                <w:rFonts w:eastAsia="Times New Roman" w:cstheme="minorHAnsi"/>
                <w:b/>
                <w:bCs/>
                <w:noProof/>
              </w:rPr>
              <w:t xml:space="preserve"> ja/või eelnõu seletuskirjas selguse huvides</w:t>
            </w:r>
            <w:r>
              <w:rPr>
                <w:rFonts w:eastAsia="Times New Roman" w:cstheme="minorHAnsi"/>
                <w:b/>
                <w:bCs/>
                <w:noProof/>
              </w:rPr>
              <w:t>,</w:t>
            </w:r>
            <w:r w:rsidRPr="004E196B">
              <w:rPr>
                <w:rFonts w:eastAsia="Times New Roman" w:cstheme="minorHAnsi"/>
                <w:b/>
                <w:bCs/>
                <w:noProof/>
              </w:rPr>
              <w:t xml:space="preserve"> et vähempakkumiste</w:t>
            </w:r>
            <w:r>
              <w:rPr>
                <w:rFonts w:eastAsia="Times New Roman" w:cstheme="minorHAnsi"/>
                <w:b/>
                <w:bCs/>
                <w:noProof/>
              </w:rPr>
              <w:t xml:space="preserve"> skeemi ja võimalike muude toetuste kumuleerumine on riigiabi reeglite piires lubatav. Muu hulgas peaks olema lubatav</w:t>
            </w:r>
            <w:r w:rsidRPr="004E196B">
              <w:rPr>
                <w:rFonts w:eastAsia="Times New Roman" w:cstheme="minorHAnsi"/>
                <w:b/>
                <w:bCs/>
                <w:noProof/>
              </w:rPr>
              <w:t xml:space="preserve"> osaleda ka tootmisseadmega, mille projektile on saadud (näiteks Euroopa ühendamise rahastust) (investeeringu)toetust ning vastavat toetust ei tule vähempakkumise toetuse määrast (proportsionaalselt) maha arvestada</w:t>
            </w:r>
            <w:r w:rsidRPr="00841C9F">
              <w:rPr>
                <w:rFonts w:eastAsia="Times New Roman" w:cstheme="minorHAnsi"/>
                <w:noProof/>
              </w:rPr>
              <w:t>;</w:t>
            </w:r>
          </w:p>
          <w:p w14:paraId="02B6C07D" w14:textId="77777777" w:rsidR="00A05AF0" w:rsidRPr="00A05AF0" w:rsidRDefault="00A05AF0" w:rsidP="00A05AF0">
            <w:pPr>
              <w:spacing w:before="120" w:line="276" w:lineRule="auto"/>
              <w:jc w:val="both"/>
              <w:rPr>
                <w:rFonts w:eastAsia="Calibri" w:cstheme="minorHAnsi"/>
                <w:b/>
                <w:bCs/>
                <w:i/>
                <w:iCs/>
              </w:rPr>
            </w:pPr>
            <w:r w:rsidRPr="00A05AF0">
              <w:rPr>
                <w:rFonts w:eastAsia="Calibri" w:cstheme="minorHAnsi"/>
                <w:b/>
                <w:bCs/>
                <w:i/>
                <w:iCs/>
              </w:rPr>
              <w:t>Vähempakkumise skeemi ja toetuste kumuleerumine</w:t>
            </w:r>
          </w:p>
          <w:p w14:paraId="38033A5A" w14:textId="77777777" w:rsidR="00A05AF0" w:rsidRDefault="00A05AF0" w:rsidP="00A05AF0">
            <w:pPr>
              <w:spacing w:before="120" w:line="276" w:lineRule="auto"/>
              <w:jc w:val="both"/>
              <w:rPr>
                <w:rFonts w:eastAsia="Calibri" w:cstheme="minorHAnsi"/>
              </w:rPr>
            </w:pPr>
            <w:r w:rsidRPr="00430B6C">
              <w:rPr>
                <w:rFonts w:eastAsia="Calibri" w:cstheme="minorHAnsi"/>
              </w:rPr>
              <w:t>ELTS § 59</w:t>
            </w:r>
            <w:r w:rsidRPr="00430B6C">
              <w:rPr>
                <w:rFonts w:eastAsia="Calibri" w:cstheme="minorHAnsi"/>
                <w:vertAlign w:val="superscript"/>
              </w:rPr>
              <w:t>1</w:t>
            </w:r>
            <w:r w:rsidRPr="00430B6C">
              <w:rPr>
                <w:rFonts w:eastAsia="Calibri" w:cstheme="minorHAnsi"/>
              </w:rPr>
              <w:t xml:space="preserve"> lg 2 p 1 (mida eelnõuga muudeta ei plaanita) sätestab, et tootja ei saa ELTS §-des 59 ja 59</w:t>
            </w:r>
            <w:r w:rsidRPr="00430B6C">
              <w:rPr>
                <w:rFonts w:eastAsia="Calibri" w:cstheme="minorHAnsi"/>
                <w:vertAlign w:val="superscript"/>
              </w:rPr>
              <w:t>4</w:t>
            </w:r>
            <w:r w:rsidRPr="00430B6C">
              <w:rPr>
                <w:rFonts w:eastAsia="Calibri" w:cstheme="minorHAnsi"/>
              </w:rPr>
              <w:t>–59</w:t>
            </w:r>
            <w:r w:rsidRPr="00430B6C">
              <w:rPr>
                <w:rFonts w:eastAsia="Calibri" w:cstheme="minorHAnsi"/>
                <w:vertAlign w:val="superscript"/>
              </w:rPr>
              <w:t>6</w:t>
            </w:r>
            <w:r w:rsidRPr="00430B6C">
              <w:rPr>
                <w:rFonts w:eastAsia="Calibri" w:cstheme="minorHAnsi"/>
              </w:rPr>
              <w:t xml:space="preserve"> nimetatud toetust kui tuuleenergiast elektrienergia tootjale on riik maksnud sama tootmisseadme eest investeeringutoetust ning tootja ei ole investeeringutoetust riigile hüvitanud. ELTS § 59</w:t>
            </w:r>
            <w:r w:rsidRPr="00430B6C">
              <w:rPr>
                <w:rFonts w:eastAsia="Calibri" w:cstheme="minorHAnsi"/>
                <w:vertAlign w:val="superscript"/>
              </w:rPr>
              <w:t>4</w:t>
            </w:r>
            <w:r w:rsidRPr="00430B6C">
              <w:rPr>
                <w:rFonts w:eastAsia="Calibri" w:cstheme="minorHAnsi"/>
              </w:rPr>
              <w:t xml:space="preserve"> lg 8 (mida samuti eelnõuga ei muudetaks) sätestab, et kui vähempakkumisel osaletakse tootmisseadmega, mille eest on makstud riigipoolset investeeringutoetust, tuleb tegevustoetuse perioodile vastav proportsionaalne investeeringutoetus ELTS §-s 59</w:t>
            </w:r>
            <w:r w:rsidRPr="00430B6C">
              <w:rPr>
                <w:rFonts w:eastAsia="Calibri" w:cstheme="minorHAnsi"/>
                <w:vertAlign w:val="superscript"/>
              </w:rPr>
              <w:t>4</w:t>
            </w:r>
            <w:r w:rsidRPr="00430B6C">
              <w:rPr>
                <w:rFonts w:eastAsia="Calibri" w:cstheme="minorHAnsi"/>
              </w:rPr>
              <w:t xml:space="preserve"> nimetatud toetuse määrast maha arvestada.</w:t>
            </w:r>
          </w:p>
          <w:p w14:paraId="6EE2585A" w14:textId="77777777" w:rsidR="00A05AF0" w:rsidRDefault="00A05AF0" w:rsidP="00A05AF0">
            <w:pPr>
              <w:spacing w:before="120" w:line="276" w:lineRule="auto"/>
              <w:jc w:val="both"/>
              <w:rPr>
                <w:rFonts w:eastAsia="Calibri" w:cstheme="minorHAnsi"/>
              </w:rPr>
            </w:pPr>
            <w:r w:rsidRPr="00430B6C">
              <w:rPr>
                <w:rFonts w:eastAsia="Calibri" w:cstheme="minorHAnsi"/>
              </w:rPr>
              <w:t xml:space="preserve">Kõnealused sätted viitavad riigipoolsele investeeringutoetusele. Samas on lisaks võimalik, et tootmisseade, millega vähempakkumisel osaletakse, on saanud või saab (investeeringu)toetust mõnesugusest muust skeemist. Näiteks on nii ELWIND-i Eesti-Läti ühine meretuuleenergia hübriidprojekt kui ka </w:t>
            </w:r>
            <w:proofErr w:type="spellStart"/>
            <w:r w:rsidRPr="00430B6C">
              <w:rPr>
                <w:rFonts w:eastAsia="Calibri" w:cstheme="minorHAnsi"/>
              </w:rPr>
              <w:t>Utilitas</w:t>
            </w:r>
            <w:proofErr w:type="spellEnd"/>
            <w:r w:rsidRPr="00430B6C">
              <w:rPr>
                <w:rFonts w:eastAsia="Calibri" w:cstheme="minorHAnsi"/>
              </w:rPr>
              <w:t xml:space="preserve"> </w:t>
            </w:r>
            <w:proofErr w:type="spellStart"/>
            <w:r w:rsidRPr="00430B6C">
              <w:rPr>
                <w:rFonts w:eastAsia="Calibri" w:cstheme="minorHAnsi"/>
              </w:rPr>
              <w:t>Windi</w:t>
            </w:r>
            <w:proofErr w:type="spellEnd"/>
            <w:r w:rsidRPr="00430B6C">
              <w:rPr>
                <w:rFonts w:eastAsia="Calibri" w:cstheme="minorHAnsi"/>
              </w:rPr>
              <w:t xml:space="preserve"> Saare-Liivi meretuulepargi projekt kantud</w:t>
            </w:r>
            <w:r w:rsidRPr="00430B6C">
              <w:t xml:space="preserve"> Euroopa Komisjoni delegeeritud määruse nr 2023/2639 alusel </w:t>
            </w:r>
            <w:r w:rsidRPr="00430B6C">
              <w:rPr>
                <w:rFonts w:eastAsia="Calibri" w:cstheme="minorHAnsi"/>
              </w:rPr>
              <w:t xml:space="preserve">piiriüleste taastuvenergiaprojektide loetellu, mis on võimaldanud (ja võimaldab ka tulevikus) taotleda ja saada rahastamist Euroopa ühendamise rahastust </w:t>
            </w:r>
            <w:r w:rsidRPr="00430B6C">
              <w:rPr>
                <w:rFonts w:eastAsia="Calibri" w:cstheme="minorHAnsi"/>
                <w:i/>
                <w:iCs/>
              </w:rPr>
              <w:t>(</w:t>
            </w:r>
            <w:proofErr w:type="spellStart"/>
            <w:r w:rsidRPr="00430B6C">
              <w:rPr>
                <w:rFonts w:eastAsia="Calibri" w:cstheme="minorHAnsi"/>
                <w:i/>
                <w:iCs/>
              </w:rPr>
              <w:t>cross-border</w:t>
            </w:r>
            <w:proofErr w:type="spellEnd"/>
            <w:r w:rsidRPr="00430B6C">
              <w:rPr>
                <w:rFonts w:eastAsia="Calibri" w:cstheme="minorHAnsi"/>
                <w:i/>
                <w:iCs/>
              </w:rPr>
              <w:t xml:space="preserve"> </w:t>
            </w:r>
            <w:proofErr w:type="spellStart"/>
            <w:r w:rsidRPr="00430B6C">
              <w:rPr>
                <w:rFonts w:eastAsia="Calibri" w:cstheme="minorHAnsi"/>
                <w:i/>
                <w:iCs/>
              </w:rPr>
              <w:t>renewable</w:t>
            </w:r>
            <w:proofErr w:type="spellEnd"/>
            <w:r w:rsidRPr="00430B6C">
              <w:rPr>
                <w:rFonts w:eastAsia="Calibri" w:cstheme="minorHAnsi"/>
                <w:i/>
                <w:iCs/>
              </w:rPr>
              <w:t xml:space="preserve"> </w:t>
            </w:r>
            <w:proofErr w:type="spellStart"/>
            <w:r w:rsidRPr="00430B6C">
              <w:rPr>
                <w:rFonts w:eastAsia="Calibri" w:cstheme="minorHAnsi"/>
                <w:i/>
                <w:iCs/>
              </w:rPr>
              <w:t>energy</w:t>
            </w:r>
            <w:proofErr w:type="spellEnd"/>
            <w:r w:rsidRPr="00430B6C">
              <w:rPr>
                <w:rFonts w:eastAsia="Calibri" w:cstheme="minorHAnsi"/>
                <w:i/>
                <w:iCs/>
              </w:rPr>
              <w:t xml:space="preserve"> </w:t>
            </w:r>
            <w:proofErr w:type="spellStart"/>
            <w:r w:rsidRPr="00430B6C">
              <w:rPr>
                <w:rFonts w:eastAsia="Calibri" w:cstheme="minorHAnsi"/>
                <w:i/>
                <w:iCs/>
              </w:rPr>
              <w:t>projects</w:t>
            </w:r>
            <w:proofErr w:type="spellEnd"/>
            <w:r w:rsidRPr="00430B6C">
              <w:rPr>
                <w:rFonts w:eastAsia="Calibri" w:cstheme="minorHAnsi"/>
                <w:i/>
                <w:iCs/>
              </w:rPr>
              <w:t>/CEF Energy)</w:t>
            </w:r>
            <w:r w:rsidRPr="00430B6C">
              <w:rPr>
                <w:rFonts w:eastAsia="Calibri" w:cstheme="minorHAnsi"/>
              </w:rPr>
              <w:t>.</w:t>
            </w:r>
            <w:r>
              <w:rPr>
                <w:rFonts w:eastAsia="Calibri" w:cstheme="minorHAnsi"/>
              </w:rPr>
              <w:t xml:space="preserve"> </w:t>
            </w:r>
          </w:p>
          <w:p w14:paraId="7C645460" w14:textId="77777777" w:rsidR="00A05AF0" w:rsidRDefault="00A05AF0" w:rsidP="00A05AF0">
            <w:pPr>
              <w:spacing w:before="120" w:line="276" w:lineRule="auto"/>
              <w:jc w:val="both"/>
              <w:rPr>
                <w:rFonts w:eastAsia="Calibri" w:cstheme="minorHAnsi"/>
              </w:rPr>
            </w:pPr>
            <w:r w:rsidRPr="00430B6C">
              <w:rPr>
                <w:rFonts w:eastAsia="Calibri" w:cstheme="minorHAnsi"/>
              </w:rPr>
              <w:t>Grupierandi määrus, suunised ega TCTF ei välista vähempakkumisel osalemist tootmisseadmega, mis niisugust investeeringutoetust on saanud või saavad ega kohusta investeeringutoetust vähempakkumisel saadavast toetuse määrast maha arvestama.</w:t>
            </w:r>
            <w:r>
              <w:rPr>
                <w:rFonts w:eastAsia="Calibri" w:cstheme="minorHAnsi"/>
              </w:rPr>
              <w:t xml:space="preserve"> Toetuste kumuleerumine on lubatav, eeldusel, et välditud on </w:t>
            </w:r>
            <w:proofErr w:type="spellStart"/>
            <w:r>
              <w:rPr>
                <w:rFonts w:eastAsia="Calibri" w:cstheme="minorHAnsi"/>
              </w:rPr>
              <w:t>ülekompenseerimine</w:t>
            </w:r>
            <w:proofErr w:type="spellEnd"/>
            <w:r>
              <w:rPr>
                <w:rFonts w:eastAsia="Calibri" w:cstheme="minorHAnsi"/>
              </w:rPr>
              <w:t xml:space="preserve"> (ehk abi on proportsionaalne, mida iseenesest peaks juba eelduslikult tagama avatud vähempakkumismenetlus).</w:t>
            </w:r>
          </w:p>
          <w:p w14:paraId="5C3D14DD" w14:textId="575DD998" w:rsidR="00B22607" w:rsidRDefault="00A05AF0" w:rsidP="0026254F">
            <w:pPr>
              <w:spacing w:before="120" w:line="276" w:lineRule="auto"/>
              <w:jc w:val="both"/>
              <w:rPr>
                <w:rFonts w:eastAsia="Times New Roman" w:cstheme="minorHAnsi"/>
                <w:b/>
                <w:bCs/>
                <w:noProof/>
              </w:rPr>
            </w:pPr>
            <w:r w:rsidRPr="00430B6C">
              <w:rPr>
                <w:rFonts w:eastAsia="Calibri" w:cstheme="minorHAnsi"/>
                <w:b/>
                <w:bCs/>
              </w:rPr>
              <w:t>Seega palume ELTS-</w:t>
            </w:r>
            <w:proofErr w:type="spellStart"/>
            <w:r w:rsidRPr="00430B6C">
              <w:rPr>
                <w:rFonts w:eastAsia="Calibri" w:cstheme="minorHAnsi"/>
                <w:b/>
                <w:bCs/>
              </w:rPr>
              <w:t>is</w:t>
            </w:r>
            <w:proofErr w:type="spellEnd"/>
            <w:r w:rsidRPr="00430B6C">
              <w:rPr>
                <w:rFonts w:eastAsia="Calibri" w:cstheme="minorHAnsi"/>
                <w:b/>
                <w:bCs/>
              </w:rPr>
              <w:t xml:space="preserve"> ja/või eelnõu seletuskirjas selguse huvides täpsustada, et maismaa- ja meretuuleparkide vähempakkumistel võib osaleda ka tootmisseadmega, mille projektile on saadud (näiteks Euroopa ühendamise rahastust) (investeeringu)toetust ning vastavat toetust ei tule vähempakkumise toetuse määrast (proportsionaalselt) maha arvestada.</w:t>
            </w:r>
            <w:r>
              <w:rPr>
                <w:rFonts w:eastAsia="Calibri" w:cstheme="minorHAnsi"/>
                <w:b/>
                <w:bCs/>
              </w:rPr>
              <w:t xml:space="preserve"> Samuti peaks ELTS-</w:t>
            </w:r>
            <w:proofErr w:type="spellStart"/>
            <w:r>
              <w:rPr>
                <w:rFonts w:eastAsia="Calibri" w:cstheme="minorHAnsi"/>
                <w:b/>
                <w:bCs/>
              </w:rPr>
              <w:t>is</w:t>
            </w:r>
            <w:proofErr w:type="spellEnd"/>
            <w:r>
              <w:rPr>
                <w:rFonts w:eastAsia="Calibri" w:cstheme="minorHAnsi"/>
                <w:b/>
                <w:bCs/>
              </w:rPr>
              <w:t xml:space="preserve"> kajastuma </w:t>
            </w:r>
            <w:proofErr w:type="spellStart"/>
            <w:r>
              <w:rPr>
                <w:rFonts w:eastAsia="Calibri" w:cstheme="minorHAnsi"/>
                <w:b/>
                <w:bCs/>
              </w:rPr>
              <w:t>üldprintsiip</w:t>
            </w:r>
            <w:proofErr w:type="spellEnd"/>
            <w:r>
              <w:rPr>
                <w:rFonts w:eastAsia="Calibri" w:cstheme="minorHAnsi"/>
                <w:b/>
                <w:bCs/>
              </w:rPr>
              <w:t>, et vähempakkumise skeemi ja erinevate (muude) toetuste kumuleerumine on riigiabireeglite piires lubatav.</w:t>
            </w:r>
          </w:p>
        </w:tc>
        <w:tc>
          <w:tcPr>
            <w:tcW w:w="3282" w:type="dxa"/>
          </w:tcPr>
          <w:p w14:paraId="20908194" w14:textId="69DC789C" w:rsidR="00E032BC" w:rsidRPr="00797EDC" w:rsidRDefault="005203B8" w:rsidP="00E032BC">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Selgitame</w:t>
            </w:r>
          </w:p>
          <w:p w14:paraId="7A84223B" w14:textId="77777777" w:rsidR="008E6F77" w:rsidRPr="00797EDC" w:rsidRDefault="008E6F77" w:rsidP="00E032BC">
            <w:pPr>
              <w:pStyle w:val="Loendilik"/>
              <w:ind w:left="-23"/>
              <w:jc w:val="both"/>
              <w:rPr>
                <w:rFonts w:ascii="Times New Roman" w:eastAsia="Calibri" w:hAnsi="Times New Roman" w:cs="Times New Roman"/>
                <w:b/>
                <w:bCs/>
                <w:sz w:val="24"/>
                <w:szCs w:val="24"/>
              </w:rPr>
            </w:pPr>
          </w:p>
          <w:p w14:paraId="2E5641F8" w14:textId="516AA730" w:rsidR="001C23F1" w:rsidRPr="00797EDC" w:rsidRDefault="00E45B69" w:rsidP="004C7085">
            <w:pPr>
              <w:rPr>
                <w:rFonts w:ascii="Times New Roman" w:eastAsia="Calibri" w:hAnsi="Times New Roman" w:cs="Times New Roman"/>
                <w:sz w:val="24"/>
                <w:szCs w:val="24"/>
              </w:rPr>
            </w:pPr>
            <w:r w:rsidRPr="00797EDC">
              <w:rPr>
                <w:rFonts w:ascii="Times New Roman" w:eastAsia="Calibri" w:hAnsi="Times New Roman" w:cs="Times New Roman"/>
                <w:sz w:val="24"/>
                <w:szCs w:val="24"/>
              </w:rPr>
              <w:t>Kuna toetuste allikad on väga erinevad</w:t>
            </w:r>
            <w:r w:rsidR="007C1194">
              <w:rPr>
                <w:rFonts w:ascii="Times New Roman" w:eastAsia="Calibri" w:hAnsi="Times New Roman" w:cs="Times New Roman"/>
                <w:sz w:val="24"/>
                <w:szCs w:val="24"/>
              </w:rPr>
              <w:t xml:space="preserve"> ning need võivad ajas muutuda</w:t>
            </w:r>
            <w:r w:rsidRPr="00797EDC">
              <w:rPr>
                <w:rFonts w:ascii="Times New Roman" w:eastAsia="Calibri" w:hAnsi="Times New Roman" w:cs="Times New Roman"/>
                <w:sz w:val="24"/>
                <w:szCs w:val="24"/>
              </w:rPr>
              <w:t xml:space="preserve">, siis ei </w:t>
            </w:r>
            <w:r w:rsidR="007C1194">
              <w:rPr>
                <w:rFonts w:ascii="Times New Roman" w:eastAsia="Calibri" w:hAnsi="Times New Roman" w:cs="Times New Roman"/>
                <w:sz w:val="24"/>
                <w:szCs w:val="24"/>
              </w:rPr>
              <w:t>ole võimalik</w:t>
            </w:r>
            <w:r w:rsidRPr="00797EDC">
              <w:rPr>
                <w:rFonts w:ascii="Times New Roman" w:eastAsia="Calibri" w:hAnsi="Times New Roman" w:cs="Times New Roman"/>
                <w:sz w:val="24"/>
                <w:szCs w:val="24"/>
              </w:rPr>
              <w:t xml:space="preserve"> seletuskirjas</w:t>
            </w:r>
            <w:r w:rsidR="005130D3">
              <w:rPr>
                <w:rFonts w:ascii="Times New Roman" w:eastAsia="Calibri" w:hAnsi="Times New Roman" w:cs="Times New Roman"/>
                <w:sz w:val="24"/>
                <w:szCs w:val="24"/>
              </w:rPr>
              <w:t xml:space="preserve"> ammendavalt</w:t>
            </w:r>
            <w:r w:rsidRPr="00797EDC">
              <w:rPr>
                <w:rFonts w:ascii="Times New Roman" w:eastAsia="Calibri" w:hAnsi="Times New Roman" w:cs="Times New Roman"/>
                <w:sz w:val="24"/>
                <w:szCs w:val="24"/>
              </w:rPr>
              <w:t xml:space="preserve"> kirjeldada kõiki neid toetuseid, mille puhul </w:t>
            </w:r>
            <w:r w:rsidR="00EF7D9B" w:rsidRPr="00797EDC">
              <w:rPr>
                <w:rFonts w:ascii="Times New Roman" w:eastAsia="Calibri" w:hAnsi="Times New Roman" w:cs="Times New Roman"/>
                <w:sz w:val="24"/>
                <w:szCs w:val="24"/>
              </w:rPr>
              <w:t>tootmisseadmetel on võimalik vähempakkumisel osaleda ja mille puhul mitte</w:t>
            </w:r>
            <w:r w:rsidR="005A6FEB" w:rsidRPr="00797EDC">
              <w:rPr>
                <w:rFonts w:eastAsia="Calibri" w:cstheme="minorHAnsi"/>
              </w:rPr>
              <w:t>.</w:t>
            </w:r>
          </w:p>
        </w:tc>
      </w:tr>
      <w:tr w:rsidR="00D2275F" w:rsidRPr="005C0F32" w14:paraId="5551B75A" w14:textId="77777777" w:rsidTr="3199B330">
        <w:trPr>
          <w:trHeight w:val="300"/>
        </w:trPr>
        <w:tc>
          <w:tcPr>
            <w:tcW w:w="10710" w:type="dxa"/>
          </w:tcPr>
          <w:p w14:paraId="0D14194A" w14:textId="74F6E615" w:rsidR="00D2275F" w:rsidRDefault="0019469F" w:rsidP="28C849A4">
            <w:pPr>
              <w:spacing w:before="120" w:line="276" w:lineRule="auto"/>
              <w:jc w:val="both"/>
              <w:rPr>
                <w:rFonts w:eastAsia="Times New Roman"/>
                <w:b/>
                <w:bCs/>
                <w:noProof/>
              </w:rPr>
            </w:pPr>
            <w:r w:rsidRPr="28C849A4">
              <w:rPr>
                <w:rFonts w:eastAsia="Times New Roman"/>
                <w:b/>
                <w:bCs/>
                <w:noProof/>
              </w:rPr>
              <w:t>A</w:t>
            </w:r>
            <w:r w:rsidR="00D2275F" w:rsidRPr="28C849A4">
              <w:rPr>
                <w:rFonts w:eastAsia="Times New Roman"/>
                <w:b/>
                <w:bCs/>
                <w:noProof/>
              </w:rPr>
              <w:t>rvestades eriti meretuuleparkide arendustsüklit, investeeringukulusid ning võimalikke esile tõusvaid riske ja takistusi</w:t>
            </w:r>
            <w:r w:rsidR="00D2275F" w:rsidRPr="28C849A4">
              <w:rPr>
                <w:rFonts w:eastAsia="Times New Roman"/>
                <w:noProof/>
              </w:rPr>
              <w:t xml:space="preserve"> </w:t>
            </w:r>
            <w:r w:rsidR="00D2275F" w:rsidRPr="28C849A4">
              <w:rPr>
                <w:rFonts w:eastAsia="Times New Roman"/>
                <w:b/>
                <w:bCs/>
                <w:i/>
                <w:iCs/>
                <w:noProof/>
              </w:rPr>
              <w:t>(nii menetluste, finantseerimise, tarneahelate kui ehitamise osas)</w:t>
            </w:r>
            <w:r w:rsidR="00D2275F" w:rsidRPr="28C849A4">
              <w:rPr>
                <w:rFonts w:eastAsia="Times New Roman"/>
                <w:b/>
                <w:bCs/>
                <w:noProof/>
              </w:rPr>
              <w:t xml:space="preserve">, palume kriitilise pilguga üle vaadata rakenduvad tähtajad ja reeglid, mis võivad päädida tagatise </w:t>
            </w:r>
            <w:r w:rsidR="00D2275F" w:rsidRPr="28C849A4">
              <w:rPr>
                <w:rFonts w:eastAsia="Times New Roman"/>
                <w:b/>
                <w:bCs/>
                <w:i/>
                <w:iCs/>
                <w:noProof/>
              </w:rPr>
              <w:t>(kuni 40 miljonit eurot)</w:t>
            </w:r>
            <w:r w:rsidR="00D2275F" w:rsidRPr="28C849A4">
              <w:rPr>
                <w:rFonts w:eastAsia="Times New Roman"/>
                <w:b/>
                <w:bCs/>
                <w:noProof/>
              </w:rPr>
              <w:t xml:space="preserve"> kaotamise, toetuse vähendamise </w:t>
            </w:r>
            <w:r w:rsidR="00D2275F" w:rsidRPr="28C849A4">
              <w:rPr>
                <w:rFonts w:eastAsia="Times New Roman"/>
                <w:b/>
                <w:bCs/>
                <w:noProof/>
              </w:rPr>
              <w:lastRenderedPageBreak/>
              <w:t xml:space="preserve">või lausa äravõtmisega, ning võimaldada neis paindlikkust – kui  näiteks tootmisega vajalikus mahus alustamine on viibinud, peaks olema võimalus täiendava tähtaja andmiseks ilma lisatagajärgedeta. Nii vähendataks ka projektide riske ning johtuvalt ka </w:t>
            </w:r>
            <w:r w:rsidR="00D2275F" w:rsidRPr="28C849A4">
              <w:rPr>
                <w:rFonts w:eastAsia="Times New Roman"/>
                <w:b/>
                <w:bCs/>
                <w:i/>
                <w:iCs/>
                <w:noProof/>
              </w:rPr>
              <w:t>strike price</w:t>
            </w:r>
            <w:r w:rsidR="00D2275F" w:rsidRPr="28C849A4">
              <w:rPr>
                <w:rFonts w:eastAsia="Times New Roman"/>
                <w:b/>
                <w:bCs/>
                <w:noProof/>
              </w:rPr>
              <w:t>’i ja meetme kogukulu;</w:t>
            </w:r>
          </w:p>
          <w:p w14:paraId="2A060156" w14:textId="6E076A79" w:rsidR="00E64CEA" w:rsidRPr="00E64CEA" w:rsidRDefault="00E64CEA" w:rsidP="00E64CEA">
            <w:pPr>
              <w:spacing w:before="120" w:line="276" w:lineRule="auto"/>
              <w:jc w:val="both"/>
              <w:rPr>
                <w:rFonts w:eastAsia="Times New Roman" w:cstheme="minorHAnsi"/>
                <w:b/>
                <w:bCs/>
                <w:noProof/>
              </w:rPr>
            </w:pPr>
            <w:r w:rsidRPr="00E64CEA">
              <w:rPr>
                <w:rFonts w:eastAsia="Times New Roman" w:cstheme="minorHAnsi"/>
                <w:b/>
                <w:bCs/>
                <w:noProof/>
              </w:rPr>
              <w:t>Projekti keerukust arvestav paindlikkus meretuuleparkide vähempakkumistel</w:t>
            </w:r>
          </w:p>
          <w:p w14:paraId="436DFB10" w14:textId="7A997B68" w:rsidR="00E64CEA" w:rsidRPr="00E64CEA" w:rsidRDefault="00E64CEA" w:rsidP="00E64CEA">
            <w:pPr>
              <w:spacing w:before="120" w:line="276" w:lineRule="auto"/>
              <w:jc w:val="both"/>
              <w:rPr>
                <w:rFonts w:eastAsia="Times New Roman" w:cstheme="minorHAnsi"/>
                <w:noProof/>
              </w:rPr>
            </w:pPr>
            <w:r w:rsidRPr="00E64CEA">
              <w:rPr>
                <w:rFonts w:eastAsia="Times New Roman" w:cstheme="minorHAnsi"/>
                <w:noProof/>
              </w:rPr>
              <w:t>ELTS ja eelnõu sätestavad mitmeid rangeid reegleid vähempakkumise esemeks oleva tootmisseadmega tootmisega alustamisele ja muude lisatingimuste täitmisele. Näiteks, eelnõu järgse ELTS § 59</w:t>
            </w:r>
            <w:r w:rsidR="001A3513">
              <w:rPr>
                <w:rFonts w:eastAsia="Times New Roman" w:cstheme="minorHAnsi"/>
                <w:noProof/>
              </w:rPr>
              <w:t>(</w:t>
            </w:r>
            <w:r w:rsidRPr="00E64CEA">
              <w:rPr>
                <w:rFonts w:eastAsia="Times New Roman" w:cstheme="minorHAnsi"/>
                <w:noProof/>
              </w:rPr>
              <w:t>4</w:t>
            </w:r>
            <w:r w:rsidR="001A3513">
              <w:rPr>
                <w:rFonts w:eastAsia="Times New Roman" w:cstheme="minorHAnsi"/>
                <w:noProof/>
              </w:rPr>
              <w:t>)</w:t>
            </w:r>
            <w:r w:rsidRPr="00E64CEA">
              <w:rPr>
                <w:rFonts w:eastAsia="Times New Roman" w:cstheme="minorHAnsi"/>
                <w:noProof/>
              </w:rPr>
              <w:t xml:space="preserve"> lg 11</w:t>
            </w:r>
            <w:r w:rsidR="001A3513">
              <w:rPr>
                <w:rFonts w:eastAsia="Times New Roman" w:cstheme="minorHAnsi"/>
                <w:noProof/>
              </w:rPr>
              <w:t>(</w:t>
            </w:r>
            <w:r w:rsidRPr="00E64CEA">
              <w:rPr>
                <w:rFonts w:eastAsia="Times New Roman" w:cstheme="minorHAnsi"/>
                <w:noProof/>
              </w:rPr>
              <w:t>1</w:t>
            </w:r>
            <w:r w:rsidR="001A3513">
              <w:rPr>
                <w:rFonts w:eastAsia="Times New Roman" w:cstheme="minorHAnsi"/>
                <w:noProof/>
              </w:rPr>
              <w:t>)</w:t>
            </w:r>
            <w:r w:rsidRPr="00E64CEA">
              <w:rPr>
                <w:rFonts w:eastAsia="Times New Roman" w:cstheme="minorHAnsi"/>
                <w:noProof/>
              </w:rPr>
              <w:t xml:space="preserve"> kohaselt hakkab toetuse maksmise periood kulgema vähempakkumise teates märgitud tootmise alustamise tähtpäevast (ja tootja kaotab õiguse saada toetust perioodi eest, mille võrra tootmist hiljem alustati). Eelnõu järgses ELTS § 594 lg-s 112 on määratud, et kui tootja toodab peale tootmise alustamise tähtpäeva elektrienergiat 12 kuu jooksul vähem kui 60 protsendi ulatuses korralduses märgitud aastasest mahust, peatatakse toetuse maksed tootjale kuni vastava lävendi täitmiseni (ning tootja kaotab õiguse saada toetust perioodi eest, millal toetuse maksed olid peatatud).  Eelnõu järgne ELTS § 597 lg 32 sätestaks, et tagatist ei tagastata, kui pakkuja võtab pakkumuse tagasi pärast pakkumise esitamise tähtpäeva.  ELTS § 597 lg 6 p 1 (mida eelnõuga ei muudeta) sätestab, et tagatist ei tagastata, kui pakkumise võitja ei tooda tootmise alustamise tähtpäevast elektrienergiat esimese 12 kuu jooksul vähemalt 60 protsendi ulatuses korralduses märgitud aastasest mahust või 24 kuu jooksul vähemalt 80 protsendi ulatuses kahekordsest korralduses märgitud aastasest mahust. Eelnõu järgne ELTS § 594 lg 12 p 4 sätestab võimaluse tunnistada Vabariigi Valitsuse korraldus vähempakkumise tulemuste kohta osaliselt või täielikult kehtetuks, kui meretuulepargi vähempakkumise võitja ei ole 36 kuu jooksul pärast korralduse vastuvõtmist tootmisseadme võrku ühendamiseks sõlminud liitumislepingut.  Eelnõuga muudetav ELTS § 598 lg 4 sätestab vähempakkumise läbiviijale aluse, kui ta tuvastab riigiabi andmise reeglite rikkumise või vähempakkumise võitja tegevuses toetuse saamise nõuete rikkumise või ELTS-i ja selle alusel kehtestatud õigusaktide nõuetele mittevastavuse: 1) anda vähempakkumise võitjale tootmisega alustamiseks kuni kuuekuulise täiendava tähtaja, kui vähempakkumise võitja pakkumises olev tootmisseade on vähempakkumise teates nimetatud tähtajaks valminud, kuid elektrienergia tootmist ei ole tähtajaks selle tootmisseadmega alustatud; 2) peatada vähempakkumise võitjale toetuse maksmine kuni mittevastavuse kõrvaldamiseni; 3) teha vähempakkumise korraldajale ettepaneku Vabariigi Valitsuse korralduse muutmiseks ning vähempakkumise võitjale toetuse mittemaksmiseks või selle vähendamiseks. </w:t>
            </w:r>
          </w:p>
          <w:p w14:paraId="6D455ED7" w14:textId="77777777" w:rsidR="00E64CEA" w:rsidRPr="00E64CEA" w:rsidRDefault="00E64CEA" w:rsidP="00E64CEA">
            <w:pPr>
              <w:spacing w:before="120" w:line="276" w:lineRule="auto"/>
              <w:jc w:val="both"/>
              <w:rPr>
                <w:rFonts w:eastAsia="Times New Roman" w:cstheme="minorHAnsi"/>
                <w:noProof/>
              </w:rPr>
            </w:pPr>
            <w:r w:rsidRPr="00E64CEA">
              <w:rPr>
                <w:rFonts w:eastAsia="Times New Roman" w:cstheme="minorHAnsi"/>
                <w:noProof/>
              </w:rPr>
              <w:t xml:space="preserve">Kõik eelviidatud normid tõstavad riskitaset arendaja ja finantseerijate vaates tuntavalt. Juhime tähelepanu, et kui maismaatuuleparkide puhul on ranged tähtajad ja nõuded ning rängad tagajärjed nende rikkumise eest ehk isegi proportsionaalsed ja riskid hoomatavad, siis meretuuleparkide arendustsükkel, investeeringukulud ning võimalikud esile tõusvad riskid ja takistused (nii menetluste, finantseerimise, tarneahelate kui ehitamise osas) on hoopis teises mastaabis ning tõrked vastavalt vähem etteaimatavad või välditavad. Samal ajal on ainuüksi vähempakkumise tagatis </w:t>
            </w:r>
            <w:r w:rsidRPr="00E64CEA">
              <w:rPr>
                <w:rFonts w:eastAsia="Times New Roman" w:cstheme="minorHAnsi"/>
                <w:noProof/>
              </w:rPr>
              <w:lastRenderedPageBreak/>
              <w:t>(maksimaalselt 40 miljonit eurot), aga ka tehtavad investeeringud oluliselt suuremad. Praegu ELTS-is ja eelnõus ette nähtud laialdased alused tagatise kaotamiseks, toetuse vähendamiseks või lausa vähempakkumise tulemuste kehtetuks tunnistamiseks tõstavad projektide riskiastet tuntavalt ning nõnda ka finantseerimiskulu (johtuvalt ka strike price’i). Niisamuti on juba eraldivõetuna arusaamatu, kuidas saab arendaja vastutata tingimata kõigi eelnõu järgse ELTS § 598 lg 4 sissejuhatuses toodud võimalike „nõuete“ rikkumise eest, kui nende järgimine on suuresti ka riigi vastutus.</w:t>
            </w:r>
          </w:p>
          <w:p w14:paraId="6CFCDC04" w14:textId="195449A1" w:rsidR="00D2275F" w:rsidRDefault="00E64CEA" w:rsidP="00A05AF0">
            <w:pPr>
              <w:spacing w:before="120" w:line="276" w:lineRule="auto"/>
              <w:jc w:val="both"/>
              <w:rPr>
                <w:rFonts w:eastAsia="Times New Roman" w:cstheme="minorHAnsi"/>
                <w:b/>
                <w:bCs/>
                <w:noProof/>
              </w:rPr>
            </w:pPr>
            <w:r w:rsidRPr="00E64CEA">
              <w:rPr>
                <w:rFonts w:eastAsia="Times New Roman" w:cstheme="minorHAnsi"/>
                <w:b/>
                <w:bCs/>
                <w:noProof/>
              </w:rPr>
              <w:t>Seega palume kriitilise pilguga üle vaadata eriti meretuulepargi vähempakkumise puhul rakenduvad eelviidatud tähtajad ja reeglid ning võimaldada neis paindlikkust – kui näiteks tootmisega vajalikus mahus alustamine on viibinud, peaks olema võimalus täiendava tähtaja andmiseks ilma lisatagajärgedeta. Samal ajal peab vastav paindlikkus olema piisavalt konkreetne, kuna tingimused ei saa niisuguse projekti puhul jääda ka ebamääraseks.</w:t>
            </w:r>
          </w:p>
        </w:tc>
        <w:tc>
          <w:tcPr>
            <w:tcW w:w="3282" w:type="dxa"/>
          </w:tcPr>
          <w:p w14:paraId="7A22A41F" w14:textId="7C62CBA5" w:rsidR="00D2275F" w:rsidRPr="00797EDC" w:rsidRDefault="2E4C8034" w:rsidP="007A1F62">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A</w:t>
            </w:r>
            <w:r w:rsidR="357DE2AA" w:rsidRPr="00797EDC">
              <w:rPr>
                <w:rFonts w:ascii="Times New Roman" w:eastAsia="Calibri" w:hAnsi="Times New Roman" w:cs="Times New Roman"/>
                <w:b/>
                <w:bCs/>
                <w:sz w:val="24"/>
                <w:szCs w:val="24"/>
              </w:rPr>
              <w:t>rvestatud</w:t>
            </w:r>
            <w:r w:rsidR="54C93D6A" w:rsidRPr="00797EDC">
              <w:rPr>
                <w:rFonts w:ascii="Times New Roman" w:eastAsia="Calibri" w:hAnsi="Times New Roman" w:cs="Times New Roman"/>
                <w:b/>
                <w:bCs/>
                <w:sz w:val="24"/>
                <w:szCs w:val="24"/>
              </w:rPr>
              <w:t xml:space="preserve"> osaliselt</w:t>
            </w:r>
          </w:p>
          <w:p w14:paraId="2093BD38" w14:textId="77777777" w:rsidR="00D2275F" w:rsidRPr="001A3513" w:rsidRDefault="544154F9" w:rsidP="001A3513">
            <w:pPr>
              <w:jc w:val="both"/>
              <w:rPr>
                <w:rFonts w:ascii="Times New Roman" w:eastAsia="Calibri" w:hAnsi="Times New Roman" w:cs="Times New Roman"/>
                <w:sz w:val="24"/>
                <w:szCs w:val="24"/>
              </w:rPr>
            </w:pPr>
            <w:r w:rsidRPr="001A3513">
              <w:rPr>
                <w:rFonts w:ascii="Times New Roman" w:eastAsia="Calibri" w:hAnsi="Times New Roman" w:cs="Times New Roman"/>
                <w:sz w:val="24"/>
                <w:szCs w:val="24"/>
              </w:rPr>
              <w:t>Tagatise eesmärk on motiveerida</w:t>
            </w:r>
            <w:r w:rsidR="478C296C" w:rsidRPr="001A3513">
              <w:rPr>
                <w:rFonts w:ascii="Times New Roman" w:eastAsia="Calibri" w:hAnsi="Times New Roman" w:cs="Times New Roman"/>
                <w:sz w:val="24"/>
                <w:szCs w:val="24"/>
              </w:rPr>
              <w:t xml:space="preserve"> tootjaid</w:t>
            </w:r>
            <w:r w:rsidRPr="001A3513">
              <w:rPr>
                <w:rFonts w:ascii="Times New Roman" w:eastAsia="Calibri" w:hAnsi="Times New Roman" w:cs="Times New Roman"/>
                <w:sz w:val="24"/>
                <w:szCs w:val="24"/>
              </w:rPr>
              <w:t xml:space="preserve"> alustama tootmist ettenähtud tähtajal. </w:t>
            </w:r>
            <w:r w:rsidRPr="001A3513">
              <w:rPr>
                <w:rFonts w:ascii="Times New Roman" w:eastAsia="Calibri" w:hAnsi="Times New Roman" w:cs="Times New Roman"/>
                <w:sz w:val="24"/>
                <w:szCs w:val="24"/>
              </w:rPr>
              <w:lastRenderedPageBreak/>
              <w:t xml:space="preserve">Tähtajad on seatud lähtuvalt </w:t>
            </w:r>
            <w:r w:rsidR="697FCBDF" w:rsidRPr="001A3513">
              <w:rPr>
                <w:rFonts w:ascii="Times New Roman" w:eastAsia="Calibri" w:hAnsi="Times New Roman" w:cs="Times New Roman"/>
                <w:sz w:val="24"/>
                <w:szCs w:val="24"/>
              </w:rPr>
              <w:t xml:space="preserve">riiklikest taastuvenergia </w:t>
            </w:r>
            <w:r w:rsidRPr="001A3513">
              <w:rPr>
                <w:rFonts w:ascii="Times New Roman" w:eastAsia="Calibri" w:hAnsi="Times New Roman" w:cs="Times New Roman"/>
                <w:sz w:val="24"/>
                <w:szCs w:val="24"/>
              </w:rPr>
              <w:t>eesmär</w:t>
            </w:r>
            <w:r w:rsidR="53EE2B8A" w:rsidRPr="001A3513">
              <w:rPr>
                <w:rFonts w:ascii="Times New Roman" w:eastAsia="Calibri" w:hAnsi="Times New Roman" w:cs="Times New Roman"/>
                <w:sz w:val="24"/>
                <w:szCs w:val="24"/>
              </w:rPr>
              <w:t>kidest.</w:t>
            </w:r>
          </w:p>
          <w:p w14:paraId="572DE219" w14:textId="6E53FC90" w:rsidR="001A3513" w:rsidRDefault="001A3513" w:rsidP="007A1F62">
            <w:pPr>
              <w:pStyle w:val="pf0"/>
              <w:jc w:val="both"/>
              <w:rPr>
                <w:rStyle w:val="cf01"/>
                <w:rFonts w:ascii="Times New Roman" w:hAnsi="Times New Roman" w:cs="Times New Roman"/>
                <w:sz w:val="24"/>
                <w:szCs w:val="24"/>
              </w:rPr>
            </w:pPr>
            <w:r w:rsidRPr="001A3513">
              <w:rPr>
                <w:rStyle w:val="cf01"/>
                <w:rFonts w:ascii="Times New Roman" w:hAnsi="Times New Roman" w:cs="Times New Roman"/>
                <w:sz w:val="24"/>
                <w:szCs w:val="24"/>
              </w:rPr>
              <w:t>Eelnõu</w:t>
            </w:r>
            <w:r>
              <w:rPr>
                <w:rStyle w:val="cf01"/>
                <w:rFonts w:ascii="Times New Roman" w:hAnsi="Times New Roman" w:cs="Times New Roman"/>
                <w:sz w:val="24"/>
                <w:szCs w:val="24"/>
              </w:rPr>
              <w:t>s:</w:t>
            </w:r>
          </w:p>
          <w:p w14:paraId="3C26EAFA" w14:textId="2D0FF076" w:rsidR="001A3513" w:rsidRPr="001A3513" w:rsidRDefault="001A3513" w:rsidP="007A1F62">
            <w:pPr>
              <w:pStyle w:val="pf0"/>
              <w:jc w:val="both"/>
              <w:rPr>
                <w:rStyle w:val="cf01"/>
                <w:rFonts w:ascii="Times New Roman" w:hAnsi="Times New Roman" w:cs="Times New Roman"/>
                <w:sz w:val="24"/>
                <w:szCs w:val="24"/>
              </w:rPr>
            </w:pPr>
            <w:r>
              <w:rPr>
                <w:rStyle w:val="cf01"/>
                <w:rFonts w:ascii="Times New Roman" w:hAnsi="Times New Roman" w:cs="Times New Roman"/>
                <w:sz w:val="24"/>
                <w:szCs w:val="24"/>
              </w:rPr>
              <w:t>Muudetakse § 59</w:t>
            </w:r>
            <w:r>
              <w:rPr>
                <w:rStyle w:val="cf01"/>
                <w:rFonts w:ascii="Times New Roman" w:hAnsi="Times New Roman" w:cs="Times New Roman"/>
                <w:sz w:val="24"/>
                <w:szCs w:val="24"/>
                <w:vertAlign w:val="superscript"/>
              </w:rPr>
              <w:t xml:space="preserve">7 </w:t>
            </w:r>
            <w:r>
              <w:rPr>
                <w:rStyle w:val="cf01"/>
                <w:rFonts w:ascii="Times New Roman" w:hAnsi="Times New Roman" w:cs="Times New Roman"/>
                <w:sz w:val="24"/>
                <w:szCs w:val="24"/>
              </w:rPr>
              <w:t>lg 6 p 1 sõnastust:</w:t>
            </w:r>
          </w:p>
          <w:p w14:paraId="7A205D53" w14:textId="6E69F56D" w:rsidR="007A1F62" w:rsidRDefault="007A1F62" w:rsidP="001A3513">
            <w:pPr>
              <w:pStyle w:val="pf0"/>
              <w:numPr>
                <w:ilvl w:val="0"/>
                <w:numId w:val="28"/>
              </w:numPr>
              <w:jc w:val="both"/>
              <w:rPr>
                <w:rStyle w:val="cf01"/>
                <w:rFonts w:ascii="Times New Roman" w:hAnsi="Times New Roman" w:cs="Times New Roman"/>
                <w:sz w:val="24"/>
                <w:szCs w:val="24"/>
              </w:rPr>
            </w:pPr>
            <w:r w:rsidRPr="001A3513">
              <w:rPr>
                <w:rStyle w:val="cf01"/>
                <w:rFonts w:ascii="Times New Roman" w:hAnsi="Times New Roman" w:cs="Times New Roman"/>
                <w:sz w:val="24"/>
                <w:szCs w:val="24"/>
              </w:rPr>
              <w:t>§ 59</w:t>
            </w:r>
            <w:r w:rsidR="001A3513">
              <w:rPr>
                <w:rStyle w:val="cf01"/>
                <w:rFonts w:ascii="Times New Roman" w:hAnsi="Times New Roman" w:cs="Times New Roman"/>
                <w:sz w:val="24"/>
                <w:szCs w:val="24"/>
                <w:vertAlign w:val="superscript"/>
              </w:rPr>
              <w:t>7</w:t>
            </w:r>
            <w:r w:rsidRPr="001A3513">
              <w:rPr>
                <w:rStyle w:val="cf01"/>
                <w:rFonts w:ascii="Times New Roman" w:hAnsi="Times New Roman" w:cs="Times New Roman"/>
                <w:sz w:val="24"/>
                <w:szCs w:val="24"/>
              </w:rPr>
              <w:t xml:space="preserve"> lg 6, p 1: "Tagatisraha ei tagastata ... kui pakkumise võitja ei tooda ... tootmise alustamise tähtpäevast </w:t>
            </w:r>
            <w:r w:rsidRPr="001A3513">
              <w:rPr>
                <w:rStyle w:val="cf11"/>
                <w:rFonts w:ascii="Times New Roman" w:hAnsi="Times New Roman" w:cs="Times New Roman"/>
                <w:sz w:val="24"/>
                <w:szCs w:val="24"/>
              </w:rPr>
              <w:t xml:space="preserve">või § 59'8 lg 4 p 1 alusel antud täiendavast tähtpäevast </w:t>
            </w:r>
            <w:r w:rsidRPr="001A3513">
              <w:rPr>
                <w:rStyle w:val="cf01"/>
                <w:rFonts w:ascii="Times New Roman" w:hAnsi="Times New Roman" w:cs="Times New Roman"/>
                <w:sz w:val="24"/>
                <w:szCs w:val="24"/>
              </w:rPr>
              <w:t>energiat esimese 12 kuu jooksul ..."</w:t>
            </w:r>
          </w:p>
          <w:p w14:paraId="2ECA5B7A" w14:textId="5016DB57" w:rsidR="001A3513" w:rsidRPr="001A3513" w:rsidRDefault="001A3513" w:rsidP="001A3513">
            <w:pPr>
              <w:pStyle w:val="pf0"/>
              <w:jc w:val="both"/>
              <w:rPr>
                <w:rStyle w:val="cf01"/>
                <w:rFonts w:ascii="Times New Roman" w:hAnsi="Times New Roman" w:cs="Times New Roman"/>
                <w:sz w:val="24"/>
                <w:szCs w:val="24"/>
              </w:rPr>
            </w:pPr>
            <w:r>
              <w:rPr>
                <w:rStyle w:val="cf01"/>
                <w:rFonts w:ascii="Times New Roman" w:hAnsi="Times New Roman" w:cs="Times New Roman"/>
                <w:sz w:val="24"/>
                <w:szCs w:val="24"/>
              </w:rPr>
              <w:t xml:space="preserve">Täiendatakse uue paragrahviga: </w:t>
            </w:r>
          </w:p>
          <w:p w14:paraId="2B959824" w14:textId="14B64655" w:rsidR="001A3513" w:rsidRPr="001A3513" w:rsidRDefault="001A3513" w:rsidP="001A3513">
            <w:pPr>
              <w:pStyle w:val="pf0"/>
              <w:numPr>
                <w:ilvl w:val="0"/>
                <w:numId w:val="28"/>
              </w:numPr>
              <w:jc w:val="both"/>
            </w:pPr>
            <w:r>
              <w:t>§ 108 lg 3</w:t>
            </w:r>
            <w:r>
              <w:rPr>
                <w:vertAlign w:val="superscript"/>
              </w:rPr>
              <w:t>1</w:t>
            </w:r>
          </w:p>
          <w:p w14:paraId="46A92CC4" w14:textId="6D20304D" w:rsidR="007A1F62" w:rsidRDefault="007A1F62" w:rsidP="007A1F62">
            <w:pPr>
              <w:pStyle w:val="pf0"/>
              <w:jc w:val="both"/>
              <w:rPr>
                <w:rStyle w:val="cf01"/>
                <w:rFonts w:ascii="Times New Roman" w:hAnsi="Times New Roman" w:cs="Times New Roman"/>
                <w:sz w:val="24"/>
                <w:szCs w:val="24"/>
              </w:rPr>
            </w:pPr>
            <w:r w:rsidRPr="00797EDC">
              <w:rPr>
                <w:rStyle w:val="cf01"/>
                <w:rFonts w:ascii="Times New Roman" w:hAnsi="Times New Roman" w:cs="Times New Roman"/>
                <w:sz w:val="24"/>
                <w:szCs w:val="24"/>
              </w:rPr>
              <w:t>Täiendusega täpsustatakse, et kui tootmisseade on vähempakkumise teates nimetatud tootmise alustamise tähtajaks valminud, kuid elektrienergia tootmist ei ole tähtajaks alustatud, ning viidatud põhjusel on vähempakkumise läbiviija andnud kuni kuuekuulise täiendava tähtaja tootmisega alust</w:t>
            </w:r>
            <w:r w:rsidR="001A3513">
              <w:rPr>
                <w:rStyle w:val="cf01"/>
                <w:rFonts w:ascii="Times New Roman" w:hAnsi="Times New Roman" w:cs="Times New Roman"/>
                <w:sz w:val="24"/>
                <w:szCs w:val="24"/>
              </w:rPr>
              <w:t>a</w:t>
            </w:r>
            <w:r w:rsidRPr="00797EDC">
              <w:rPr>
                <w:rStyle w:val="cf01"/>
                <w:rFonts w:ascii="Times New Roman" w:hAnsi="Times New Roman" w:cs="Times New Roman"/>
                <w:sz w:val="24"/>
                <w:szCs w:val="24"/>
              </w:rPr>
              <w:t xml:space="preserve">miseks, siis vastava </w:t>
            </w:r>
            <w:r w:rsidRPr="00797EDC">
              <w:rPr>
                <w:rStyle w:val="cf01"/>
                <w:rFonts w:ascii="Times New Roman" w:hAnsi="Times New Roman" w:cs="Times New Roman"/>
                <w:sz w:val="24"/>
                <w:szCs w:val="24"/>
              </w:rPr>
              <w:lastRenderedPageBreak/>
              <w:t>ajavahemiku võrra lükkub edasi ka tootmiskohustuse arvestamine tagatise tagastamise otsustamisel.</w:t>
            </w:r>
          </w:p>
          <w:p w14:paraId="573578DB" w14:textId="77777777" w:rsidR="001A3513" w:rsidRPr="00797EDC" w:rsidRDefault="001A3513" w:rsidP="007A1F62">
            <w:pPr>
              <w:pStyle w:val="pf0"/>
              <w:jc w:val="both"/>
            </w:pPr>
          </w:p>
          <w:p w14:paraId="3B916EBA" w14:textId="4915B544" w:rsidR="007A1F62" w:rsidRPr="00797EDC" w:rsidRDefault="007A1F62" w:rsidP="1FD60553">
            <w:pPr>
              <w:pStyle w:val="Loendilik"/>
              <w:ind w:left="-23"/>
              <w:jc w:val="both"/>
              <w:rPr>
                <w:rFonts w:ascii="Times New Roman" w:eastAsia="Calibri" w:hAnsi="Times New Roman" w:cs="Times New Roman"/>
                <w:b/>
                <w:bCs/>
                <w:sz w:val="24"/>
                <w:szCs w:val="24"/>
              </w:rPr>
            </w:pPr>
          </w:p>
        </w:tc>
      </w:tr>
      <w:tr w:rsidR="00820373" w:rsidRPr="005C0F32" w14:paraId="1951BD26" w14:textId="77777777" w:rsidTr="3199B330">
        <w:trPr>
          <w:trHeight w:val="300"/>
        </w:trPr>
        <w:tc>
          <w:tcPr>
            <w:tcW w:w="10710" w:type="dxa"/>
          </w:tcPr>
          <w:p w14:paraId="7B420DEF" w14:textId="77777777" w:rsidR="00820373" w:rsidRDefault="00667B69" w:rsidP="00A05AF0">
            <w:pPr>
              <w:spacing w:before="120" w:line="276" w:lineRule="auto"/>
              <w:jc w:val="both"/>
              <w:rPr>
                <w:rFonts w:eastAsia="Times New Roman" w:cstheme="minorHAnsi"/>
                <w:b/>
                <w:bCs/>
                <w:noProof/>
              </w:rPr>
            </w:pPr>
            <w:r>
              <w:rPr>
                <w:rFonts w:eastAsia="Times New Roman" w:cstheme="minorHAnsi"/>
                <w:b/>
                <w:bCs/>
                <w:noProof/>
              </w:rPr>
              <w:lastRenderedPageBreak/>
              <w:t xml:space="preserve">muuta </w:t>
            </w:r>
            <w:r w:rsidRPr="004E196B">
              <w:rPr>
                <w:rFonts w:eastAsia="Times New Roman" w:cstheme="minorHAnsi"/>
                <w:b/>
                <w:bCs/>
                <w:noProof/>
              </w:rPr>
              <w:t>eelnõud nii, et meretuulepargi vähempakkumisel esitatav tasakaalustamisteenuse kogus</w:t>
            </w:r>
            <w:r w:rsidRPr="00841C9F">
              <w:rPr>
                <w:rFonts w:eastAsia="Times New Roman" w:cstheme="minorHAnsi"/>
                <w:noProof/>
              </w:rPr>
              <w:t xml:space="preserve"> </w:t>
            </w:r>
            <w:r>
              <w:rPr>
                <w:rFonts w:eastAsia="Times New Roman" w:cstheme="minorHAnsi"/>
                <w:b/>
                <w:bCs/>
                <w:noProof/>
              </w:rPr>
              <w:t>peab olema</w:t>
            </w:r>
            <w:r w:rsidRPr="004E196B">
              <w:rPr>
                <w:rFonts w:eastAsia="Times New Roman" w:cstheme="minorHAnsi"/>
                <w:b/>
                <w:bCs/>
                <w:noProof/>
              </w:rPr>
              <w:t xml:space="preserve"> </w:t>
            </w:r>
            <w:r>
              <w:rPr>
                <w:rFonts w:eastAsia="Times New Roman" w:cstheme="minorHAnsi"/>
                <w:b/>
                <w:bCs/>
                <w:noProof/>
              </w:rPr>
              <w:t>kuni</w:t>
            </w:r>
            <w:r w:rsidRPr="004E196B">
              <w:rPr>
                <w:rFonts w:eastAsia="Times New Roman" w:cstheme="minorHAnsi"/>
                <w:b/>
                <w:bCs/>
                <w:noProof/>
              </w:rPr>
              <w:t xml:space="preserve"> 100 MWh</w:t>
            </w:r>
            <w:r w:rsidRPr="00841C9F">
              <w:rPr>
                <w:rFonts w:eastAsia="Times New Roman" w:cstheme="minorHAnsi"/>
                <w:noProof/>
              </w:rPr>
              <w:t xml:space="preserve"> </w:t>
            </w:r>
            <w:r w:rsidRPr="004E196B">
              <w:rPr>
                <w:rFonts w:eastAsia="Times New Roman" w:cstheme="minorHAnsi"/>
                <w:b/>
                <w:bCs/>
                <w:i/>
                <w:iCs/>
                <w:noProof/>
              </w:rPr>
              <w:t>(mitte 20 MW</w:t>
            </w:r>
            <w:r>
              <w:rPr>
                <w:rFonts w:eastAsia="Times New Roman" w:cstheme="minorHAnsi"/>
                <w:b/>
                <w:bCs/>
                <w:i/>
                <w:iCs/>
                <w:noProof/>
              </w:rPr>
              <w:t xml:space="preserve"> kauplemisperioodi kohta,</w:t>
            </w:r>
            <w:r w:rsidRPr="004E196B">
              <w:rPr>
                <w:rFonts w:eastAsia="Times New Roman" w:cstheme="minorHAnsi"/>
                <w:b/>
                <w:bCs/>
                <w:i/>
                <w:iCs/>
                <w:noProof/>
              </w:rPr>
              <w:t xml:space="preserve"> nagu eelnõus)</w:t>
            </w:r>
            <w:r w:rsidRPr="00841C9F">
              <w:rPr>
                <w:rFonts w:eastAsia="Times New Roman" w:cstheme="minorHAnsi"/>
                <w:noProof/>
              </w:rPr>
              <w:t xml:space="preserve"> </w:t>
            </w:r>
            <w:r w:rsidRPr="004E196B">
              <w:rPr>
                <w:rFonts w:eastAsia="Times New Roman" w:cstheme="minorHAnsi"/>
                <w:b/>
                <w:bCs/>
                <w:noProof/>
              </w:rPr>
              <w:t xml:space="preserve">ning ühtlasi </w:t>
            </w:r>
            <w:r>
              <w:rPr>
                <w:rFonts w:eastAsia="Times New Roman" w:cstheme="minorHAnsi"/>
                <w:b/>
                <w:bCs/>
                <w:noProof/>
              </w:rPr>
              <w:t>täpsustada</w:t>
            </w:r>
            <w:r w:rsidRPr="004E196B">
              <w:rPr>
                <w:rFonts w:eastAsia="Times New Roman" w:cstheme="minorHAnsi"/>
                <w:b/>
                <w:bCs/>
                <w:noProof/>
              </w:rPr>
              <w:t>, et tasakaalustamisteenust võib pakkuda nii vähempakkumise pakkuja ise kui ka sõlmida mõne kolmanda isikuga vastava lepingu;</w:t>
            </w:r>
          </w:p>
          <w:p w14:paraId="19C215F3" w14:textId="77777777" w:rsidR="00432469" w:rsidRDefault="00432469" w:rsidP="00432469">
            <w:pPr>
              <w:spacing w:before="120" w:line="276" w:lineRule="auto"/>
              <w:jc w:val="both"/>
              <w:rPr>
                <w:rFonts w:eastAsia="Calibri" w:cstheme="minorHAnsi"/>
              </w:rPr>
            </w:pPr>
            <w:r w:rsidRPr="00412A8E">
              <w:rPr>
                <w:rFonts w:eastAsia="Calibri" w:cstheme="minorHAnsi"/>
              </w:rPr>
              <w:t>Eeln</w:t>
            </w:r>
            <w:r>
              <w:rPr>
                <w:rFonts w:eastAsia="Calibri" w:cstheme="minorHAnsi"/>
              </w:rPr>
              <w:t>õu järgne ELTS § 59</w:t>
            </w:r>
            <w:r>
              <w:rPr>
                <w:rFonts w:eastAsia="Calibri" w:cstheme="minorHAnsi"/>
                <w:vertAlign w:val="superscript"/>
              </w:rPr>
              <w:t>4</w:t>
            </w:r>
            <w:r>
              <w:rPr>
                <w:rFonts w:eastAsia="Calibri" w:cstheme="minorHAnsi"/>
              </w:rPr>
              <w:t xml:space="preserve"> lg 5</w:t>
            </w:r>
            <w:r>
              <w:rPr>
                <w:rFonts w:eastAsia="Calibri" w:cstheme="minorHAnsi"/>
                <w:vertAlign w:val="superscript"/>
              </w:rPr>
              <w:t>1</w:t>
            </w:r>
            <w:r>
              <w:rPr>
                <w:rFonts w:eastAsia="Calibri" w:cstheme="minorHAnsi"/>
              </w:rPr>
              <w:t xml:space="preserve"> p 7 sätestaks, et </w:t>
            </w:r>
            <w:r w:rsidRPr="00BF7B6D">
              <w:rPr>
                <w:rFonts w:eastAsia="Calibri" w:cstheme="minorHAnsi"/>
              </w:rPr>
              <w:t xml:space="preserve">Vabariigi Valitsus määrab vähempakkumise korraldamist volitades kindlaks </w:t>
            </w:r>
            <w:r>
              <w:rPr>
                <w:rFonts w:eastAsia="Calibri" w:cstheme="minorHAnsi"/>
              </w:rPr>
              <w:t>muu hulgas ELTS § 59</w:t>
            </w:r>
            <w:r>
              <w:rPr>
                <w:rFonts w:eastAsia="Calibri" w:cstheme="minorHAnsi"/>
                <w:vertAlign w:val="superscript"/>
              </w:rPr>
              <w:t>4</w:t>
            </w:r>
            <w:r w:rsidRPr="00BF7B6D">
              <w:rPr>
                <w:rFonts w:eastAsia="Calibri" w:cstheme="minorHAnsi"/>
              </w:rPr>
              <w:t xml:space="preserve"> l</w:t>
            </w:r>
            <w:r>
              <w:rPr>
                <w:rFonts w:eastAsia="Calibri" w:cstheme="minorHAnsi"/>
              </w:rPr>
              <w:t>g</w:t>
            </w:r>
            <w:r w:rsidRPr="00BF7B6D">
              <w:rPr>
                <w:rFonts w:eastAsia="Calibri" w:cstheme="minorHAnsi"/>
              </w:rPr>
              <w:t xml:space="preserve"> 5</w:t>
            </w:r>
            <w:r w:rsidRPr="00412A8E">
              <w:rPr>
                <w:rFonts w:eastAsia="Calibri" w:cstheme="minorHAnsi"/>
                <w:vertAlign w:val="superscript"/>
              </w:rPr>
              <w:t>2</w:t>
            </w:r>
            <w:r w:rsidRPr="00BF7B6D">
              <w:rPr>
                <w:rFonts w:eastAsia="Calibri" w:cstheme="minorHAnsi"/>
              </w:rPr>
              <w:t xml:space="preserve"> p 5 alusel korraldatava </w:t>
            </w:r>
            <w:r>
              <w:rPr>
                <w:rFonts w:eastAsia="Calibri" w:cstheme="minorHAnsi"/>
              </w:rPr>
              <w:t xml:space="preserve">meretuulepargi </w:t>
            </w:r>
            <w:r w:rsidRPr="00BF7B6D">
              <w:rPr>
                <w:rFonts w:eastAsia="Calibri" w:cstheme="minorHAnsi"/>
              </w:rPr>
              <w:t xml:space="preserve">vähempakkumise korral tasakaalustamisteenuse hankimise, milleks on </w:t>
            </w:r>
            <w:r w:rsidRPr="00412A8E">
              <w:rPr>
                <w:rFonts w:eastAsia="Calibri" w:cstheme="minorHAnsi"/>
                <w:u w:val="single"/>
              </w:rPr>
              <w:t>pakkumisega kaasnev</w:t>
            </w:r>
            <w:r w:rsidRPr="00BF7B6D">
              <w:rPr>
                <w:rFonts w:eastAsia="Calibri" w:cstheme="minorHAnsi"/>
              </w:rPr>
              <w:t xml:space="preserve"> elektrienergia salvestamisest või tarbimiskajast koosneva tasakaalustamisteenuse pakkumine.</w:t>
            </w:r>
            <w:r>
              <w:rPr>
                <w:rFonts w:eastAsia="Calibri" w:cstheme="minorHAnsi"/>
              </w:rPr>
              <w:t xml:space="preserve"> ELTS § 59</w:t>
            </w:r>
            <w:r>
              <w:rPr>
                <w:rFonts w:eastAsia="Calibri" w:cstheme="minorHAnsi"/>
                <w:vertAlign w:val="superscript"/>
              </w:rPr>
              <w:t>10</w:t>
            </w:r>
            <w:r>
              <w:rPr>
                <w:rFonts w:eastAsia="Calibri" w:cstheme="minorHAnsi"/>
              </w:rPr>
              <w:t xml:space="preserve"> lg 12 p 2 sätestaks, et v</w:t>
            </w:r>
            <w:r w:rsidRPr="00BF7B6D">
              <w:rPr>
                <w:rFonts w:eastAsia="Calibri" w:cstheme="minorHAnsi"/>
              </w:rPr>
              <w:t xml:space="preserve">ähempakkumise hindamisel võetakse </w:t>
            </w:r>
            <w:r>
              <w:rPr>
                <w:rFonts w:eastAsia="Calibri" w:cstheme="minorHAnsi"/>
              </w:rPr>
              <w:t xml:space="preserve">muu hulgas arvesse </w:t>
            </w:r>
            <w:r w:rsidRPr="00BF7B6D">
              <w:rPr>
                <w:rFonts w:eastAsia="Calibri" w:cstheme="minorHAnsi"/>
              </w:rPr>
              <w:t xml:space="preserve">pakkuja kinnitust, millises mahus ta </w:t>
            </w:r>
            <w:r w:rsidRPr="00412A8E">
              <w:rPr>
                <w:rFonts w:eastAsia="Calibri" w:cstheme="minorHAnsi"/>
                <w:u w:val="single"/>
              </w:rPr>
              <w:t>kohustub tagama</w:t>
            </w:r>
            <w:r w:rsidRPr="00BF7B6D">
              <w:rPr>
                <w:rFonts w:eastAsia="Calibri" w:cstheme="minorHAnsi"/>
              </w:rPr>
              <w:t xml:space="preserve"> elektrienergia salvestamisest või tarbimiskajast koosneva tasakaalustamisteenuse osutamist põhivõrguettevõtjale.</w:t>
            </w:r>
            <w:r>
              <w:rPr>
                <w:rFonts w:eastAsia="Calibri" w:cstheme="minorHAnsi"/>
              </w:rPr>
              <w:t xml:space="preserve"> ELTS § 59</w:t>
            </w:r>
            <w:r>
              <w:rPr>
                <w:rFonts w:eastAsia="Calibri" w:cstheme="minorHAnsi"/>
                <w:vertAlign w:val="superscript"/>
              </w:rPr>
              <w:t>10</w:t>
            </w:r>
            <w:r>
              <w:rPr>
                <w:rFonts w:eastAsia="Calibri" w:cstheme="minorHAnsi"/>
              </w:rPr>
              <w:t xml:space="preserve"> lg 13 kohaselt omakorda võetakse </w:t>
            </w:r>
            <w:r w:rsidRPr="00BF7B6D">
              <w:rPr>
                <w:rFonts w:eastAsia="Calibri" w:cstheme="minorHAnsi"/>
              </w:rPr>
              <w:t xml:space="preserve">tasakaalustamisteenuse pakkumusena arvesse üksnes pakkumust, mille tasakaalustamisteenuse kogus kauplemisperioodi kohta on </w:t>
            </w:r>
            <w:r w:rsidRPr="00412A8E">
              <w:rPr>
                <w:rFonts w:eastAsia="Calibri" w:cstheme="minorHAnsi"/>
                <w:u w:val="single"/>
              </w:rPr>
              <w:t>vähemalt 20 MW</w:t>
            </w:r>
            <w:r w:rsidRPr="00BF7B6D">
              <w:rPr>
                <w:rFonts w:eastAsia="Calibri" w:cstheme="minorHAnsi"/>
              </w:rPr>
              <w:t xml:space="preserve"> ja võimekus vähemalt 1 tund järjest tasakaalustamisteenust selles koguses osutada.</w:t>
            </w:r>
            <w:r>
              <w:rPr>
                <w:rFonts w:eastAsia="Calibri" w:cstheme="minorHAnsi"/>
              </w:rPr>
              <w:t xml:space="preserve"> ELTS § 59</w:t>
            </w:r>
            <w:r>
              <w:rPr>
                <w:rFonts w:eastAsia="Calibri" w:cstheme="minorHAnsi"/>
                <w:vertAlign w:val="superscript"/>
              </w:rPr>
              <w:t xml:space="preserve">10 </w:t>
            </w:r>
            <w:r>
              <w:rPr>
                <w:rFonts w:eastAsia="Calibri" w:cstheme="minorHAnsi"/>
              </w:rPr>
              <w:t xml:space="preserve">lg 15 p 3 sätestab, et </w:t>
            </w:r>
            <w:r w:rsidRPr="00BF7B6D">
              <w:rPr>
                <w:rFonts w:eastAsia="Calibri" w:cstheme="minorHAnsi"/>
              </w:rPr>
              <w:t xml:space="preserve">tasakaalustamisteenust tuleb pakkuda põhivõrguettevõtja tasakaalustamisvõimsuse hankesse </w:t>
            </w:r>
            <w:r>
              <w:rPr>
                <w:rFonts w:eastAsia="Calibri" w:cstheme="minorHAnsi"/>
              </w:rPr>
              <w:t>ELTS § 59</w:t>
            </w:r>
            <w:r>
              <w:rPr>
                <w:rFonts w:eastAsia="Calibri" w:cstheme="minorHAnsi"/>
                <w:vertAlign w:val="superscript"/>
              </w:rPr>
              <w:t>10</w:t>
            </w:r>
            <w:r w:rsidRPr="00BF7B6D">
              <w:rPr>
                <w:rFonts w:eastAsia="Calibri" w:cstheme="minorHAnsi"/>
              </w:rPr>
              <w:t xml:space="preserve"> lõikes 13 nimetatud koguses vähemalt ühel kauplemisperioodil päevas ning vähemalt 315 päeva aastas.</w:t>
            </w:r>
          </w:p>
          <w:p w14:paraId="45D0C87E" w14:textId="77777777" w:rsidR="00432469" w:rsidRDefault="00432469" w:rsidP="00432469">
            <w:pPr>
              <w:spacing w:before="120" w:line="276" w:lineRule="auto"/>
              <w:jc w:val="both"/>
              <w:rPr>
                <w:rFonts w:eastAsia="Calibri" w:cstheme="minorHAnsi"/>
              </w:rPr>
            </w:pPr>
            <w:r>
              <w:rPr>
                <w:rFonts w:eastAsia="Calibri" w:cstheme="minorHAnsi"/>
              </w:rPr>
              <w:t>Esiteks oleks loogiline lähtuda tasakaalustamisteenuse koguse mõõtmisel mitte võimsusest (MW), vaid mahust (MWh). T</w:t>
            </w:r>
            <w:r w:rsidRPr="00D5764F">
              <w:rPr>
                <w:rFonts w:eastAsia="Calibri" w:cstheme="minorHAnsi"/>
              </w:rPr>
              <w:t xml:space="preserve">asakaalustamisteenuse </w:t>
            </w:r>
            <w:r>
              <w:rPr>
                <w:rFonts w:eastAsia="Calibri" w:cstheme="minorHAnsi"/>
              </w:rPr>
              <w:t>kogus (maht)</w:t>
            </w:r>
            <w:r w:rsidRPr="00D5764F">
              <w:rPr>
                <w:rFonts w:eastAsia="Calibri" w:cstheme="minorHAnsi"/>
              </w:rPr>
              <w:t xml:space="preserve"> </w:t>
            </w:r>
            <w:r>
              <w:rPr>
                <w:rFonts w:eastAsia="Calibri" w:cstheme="minorHAnsi"/>
              </w:rPr>
              <w:t>peaks</w:t>
            </w:r>
            <w:r w:rsidRPr="00D5764F">
              <w:rPr>
                <w:rFonts w:eastAsia="Calibri" w:cstheme="minorHAnsi"/>
              </w:rPr>
              <w:t xml:space="preserve"> </w:t>
            </w:r>
            <w:r>
              <w:rPr>
                <w:rFonts w:eastAsia="Calibri" w:cstheme="minorHAnsi"/>
              </w:rPr>
              <w:t>olema kuni</w:t>
            </w:r>
            <w:r w:rsidRPr="00D5764F">
              <w:rPr>
                <w:rFonts w:eastAsia="Calibri" w:cstheme="minorHAnsi"/>
              </w:rPr>
              <w:t xml:space="preserve"> </w:t>
            </w:r>
            <w:r>
              <w:rPr>
                <w:rFonts w:eastAsia="Calibri" w:cstheme="minorHAnsi"/>
              </w:rPr>
              <w:t>100 MWh. Teiseks palume eelnõus välja tuua, et tasakaalustamisteenust võib pakkuda nii vähempakkumise pakkuja ise (tehes vajaliku investeeringu) kui ka sõlmida mõne kolmanda isikuga vastava lepingu.</w:t>
            </w:r>
          </w:p>
          <w:p w14:paraId="18BA7C34" w14:textId="29EE0594" w:rsidR="00820373" w:rsidRPr="00432469" w:rsidRDefault="00432469" w:rsidP="00A05AF0">
            <w:pPr>
              <w:spacing w:before="120" w:line="276" w:lineRule="auto"/>
              <w:jc w:val="both"/>
              <w:rPr>
                <w:rFonts w:eastAsia="Calibri" w:cstheme="minorHAnsi"/>
                <w:b/>
              </w:rPr>
            </w:pPr>
            <w:r w:rsidRPr="00412A8E">
              <w:rPr>
                <w:rFonts w:eastAsia="Calibri" w:cstheme="minorHAnsi"/>
                <w:b/>
                <w:bCs/>
              </w:rPr>
              <w:t xml:space="preserve">Seega palume eelnõud </w:t>
            </w:r>
            <w:r>
              <w:rPr>
                <w:rFonts w:eastAsia="Calibri" w:cstheme="minorHAnsi"/>
                <w:b/>
                <w:bCs/>
              </w:rPr>
              <w:t>muuta</w:t>
            </w:r>
            <w:r w:rsidRPr="00412A8E">
              <w:rPr>
                <w:rFonts w:eastAsia="Calibri" w:cstheme="minorHAnsi"/>
                <w:b/>
                <w:bCs/>
              </w:rPr>
              <w:t xml:space="preserve"> nii, et tasakaalustamisteenuse pakkumusena võetakse arvesse üksnes pakkumust, mille tasakaalustamisteenuse kogus on </w:t>
            </w:r>
            <w:r>
              <w:rPr>
                <w:rFonts w:eastAsia="Calibri" w:cstheme="minorHAnsi"/>
                <w:b/>
                <w:bCs/>
              </w:rPr>
              <w:t>kuni</w:t>
            </w:r>
            <w:r w:rsidRPr="00412A8E">
              <w:rPr>
                <w:rFonts w:eastAsia="Calibri" w:cstheme="minorHAnsi"/>
                <w:b/>
                <w:bCs/>
              </w:rPr>
              <w:t xml:space="preserve"> 100 MWh, ning ühtlasi täpsustada, et tasakaalustamisteenust võib pakkuda nii vähempakkumise pakkuja ise kui ka sõlmida mõne kolmanda isikuga vastava lepingu.</w:t>
            </w:r>
          </w:p>
        </w:tc>
        <w:tc>
          <w:tcPr>
            <w:tcW w:w="3282" w:type="dxa"/>
          </w:tcPr>
          <w:p w14:paraId="58B8A5E1" w14:textId="1A78D9F0" w:rsidR="00820373" w:rsidRPr="00797EDC" w:rsidRDefault="003F6F3E"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Mittearvestatud</w:t>
            </w:r>
          </w:p>
          <w:p w14:paraId="5267E1FF" w14:textId="5D135CBF" w:rsidR="69ACF809" w:rsidRPr="00797EDC" w:rsidRDefault="69ACF809" w:rsidP="69ACF809">
            <w:pPr>
              <w:pStyle w:val="Loendilik"/>
              <w:ind w:left="-23"/>
              <w:jc w:val="both"/>
              <w:rPr>
                <w:rFonts w:ascii="Times New Roman" w:eastAsia="Calibri" w:hAnsi="Times New Roman" w:cs="Times New Roman"/>
                <w:b/>
                <w:bCs/>
                <w:sz w:val="24"/>
                <w:szCs w:val="24"/>
              </w:rPr>
            </w:pPr>
          </w:p>
          <w:p w14:paraId="0AC946FD" w14:textId="6C2539C3" w:rsidR="00D612E4" w:rsidRPr="00797EDC" w:rsidRDefault="009134E6" w:rsidP="1FD60553">
            <w:pPr>
              <w:pStyle w:val="Loendilik"/>
              <w:ind w:left="-23"/>
              <w:jc w:val="both"/>
              <w:rPr>
                <w:rFonts w:ascii="Times New Roman" w:eastAsia="Calibri" w:hAnsi="Times New Roman" w:cs="Times New Roman"/>
                <w:sz w:val="24"/>
                <w:szCs w:val="24"/>
              </w:rPr>
            </w:pPr>
            <w:r>
              <w:rPr>
                <w:rFonts w:ascii="Times New Roman" w:eastAsia="Calibri" w:hAnsi="Times New Roman" w:cs="Times New Roman"/>
                <w:sz w:val="24"/>
                <w:szCs w:val="24"/>
              </w:rPr>
              <w:t>Tasakaalustamisvõimsuse turule tehakse võimsuse pakkumisi. Selleks, et süsteemihalduril säiliks võimalus selgete kriteeriumite alusel teostada tasakaalustamisteenuse olemasolule kontrolli, on kriteerium määratu võimsuse põhiliselt.</w:t>
            </w:r>
          </w:p>
          <w:p w14:paraId="453B91B6" w14:textId="098B16E7" w:rsidR="0061446B" w:rsidRPr="00797EDC" w:rsidRDefault="00E05EC7" w:rsidP="1FD6055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Tasakaalustamist</w:t>
            </w:r>
            <w:r w:rsidR="00CA273E" w:rsidRPr="00797EDC">
              <w:rPr>
                <w:rFonts w:ascii="Times New Roman" w:eastAsia="Calibri" w:hAnsi="Times New Roman" w:cs="Times New Roman"/>
                <w:sz w:val="24"/>
                <w:szCs w:val="24"/>
              </w:rPr>
              <w:t>e</w:t>
            </w:r>
            <w:r w:rsidRPr="00797EDC">
              <w:rPr>
                <w:rFonts w:ascii="Times New Roman" w:eastAsia="Calibri" w:hAnsi="Times New Roman" w:cs="Times New Roman"/>
                <w:sz w:val="24"/>
                <w:szCs w:val="24"/>
              </w:rPr>
              <w:t xml:space="preserve">enuse </w:t>
            </w:r>
            <w:r w:rsidR="00797E81" w:rsidRPr="00797EDC">
              <w:rPr>
                <w:rFonts w:ascii="Times New Roman" w:eastAsia="Calibri" w:hAnsi="Times New Roman" w:cs="Times New Roman"/>
                <w:sz w:val="24"/>
                <w:szCs w:val="24"/>
              </w:rPr>
              <w:t>pakkumiseks võib sõlmida tänase eelnõu kohaselt lepingu kolmanda osapoolega</w:t>
            </w:r>
            <w:r w:rsidR="007B6E02" w:rsidRPr="00797EDC">
              <w:rPr>
                <w:rFonts w:ascii="Times New Roman" w:eastAsia="Calibri" w:hAnsi="Times New Roman" w:cs="Times New Roman"/>
                <w:sz w:val="24"/>
                <w:szCs w:val="24"/>
              </w:rPr>
              <w:t xml:space="preserve"> </w:t>
            </w:r>
            <w:r w:rsidR="009134E6">
              <w:rPr>
                <w:rFonts w:ascii="Times New Roman" w:eastAsia="Calibri" w:hAnsi="Times New Roman" w:cs="Times New Roman"/>
                <w:sz w:val="24"/>
                <w:szCs w:val="24"/>
              </w:rPr>
              <w:t>või teha pakkumisi ise. Leiame, et see on piisavalt selge ja täpsustusi eelnõusse ei ole tarvis teha</w:t>
            </w:r>
            <w:r w:rsidR="00797E81" w:rsidRPr="00797EDC">
              <w:rPr>
                <w:rFonts w:ascii="Times New Roman" w:eastAsia="Calibri" w:hAnsi="Times New Roman" w:cs="Times New Roman"/>
                <w:sz w:val="24"/>
                <w:szCs w:val="24"/>
              </w:rPr>
              <w:t>.</w:t>
            </w:r>
            <w:r w:rsidR="00CA273E" w:rsidRPr="00797EDC">
              <w:rPr>
                <w:rFonts w:ascii="Times New Roman" w:eastAsia="Calibri" w:hAnsi="Times New Roman" w:cs="Times New Roman"/>
                <w:sz w:val="24"/>
                <w:szCs w:val="24"/>
              </w:rPr>
              <w:t xml:space="preserve"> </w:t>
            </w:r>
          </w:p>
        </w:tc>
      </w:tr>
      <w:tr w:rsidR="00667B69" w:rsidRPr="005C0F32" w14:paraId="2F18483C" w14:textId="77777777" w:rsidTr="3199B330">
        <w:trPr>
          <w:trHeight w:val="300"/>
        </w:trPr>
        <w:tc>
          <w:tcPr>
            <w:tcW w:w="10710" w:type="dxa"/>
          </w:tcPr>
          <w:p w14:paraId="7788EE27" w14:textId="77777777" w:rsidR="00C12947" w:rsidRDefault="00C12947" w:rsidP="00C12947">
            <w:pPr>
              <w:spacing w:before="120" w:line="276" w:lineRule="auto"/>
              <w:jc w:val="both"/>
              <w:rPr>
                <w:rFonts w:eastAsia="Times New Roman" w:cstheme="minorHAnsi"/>
                <w:b/>
                <w:bCs/>
                <w:noProof/>
              </w:rPr>
            </w:pPr>
            <w:r w:rsidRPr="004E196B">
              <w:rPr>
                <w:rFonts w:eastAsia="Times New Roman" w:cstheme="minorHAnsi"/>
                <w:b/>
                <w:bCs/>
                <w:noProof/>
              </w:rPr>
              <w:lastRenderedPageBreak/>
              <w:t>ehkki eelnõu endaga meretuulepargi vähempakkumise mahtu õiguslikult ei fikseerita, teeme ettepaneku mahtu tõsta 3-4 TWh-ni aastas.</w:t>
            </w:r>
            <w:r w:rsidRPr="00841C9F">
              <w:rPr>
                <w:rFonts w:eastAsia="Times New Roman" w:cstheme="minorHAnsi"/>
                <w:noProof/>
              </w:rPr>
              <w:t xml:space="preserve"> </w:t>
            </w:r>
            <w:r w:rsidRPr="004E196B">
              <w:rPr>
                <w:rFonts w:eastAsia="Times New Roman" w:cstheme="minorHAnsi"/>
                <w:b/>
                <w:bCs/>
                <w:noProof/>
              </w:rPr>
              <w:t>Kliimaministeeriumi väljendatud optimism, et aastaks 2030 lisandub 300+400+1400 MW mahus maismaatuuleparke, ei ole millegagi põhjendatud ei menetluslike</w:t>
            </w:r>
            <w:r>
              <w:rPr>
                <w:rFonts w:eastAsia="Times New Roman" w:cstheme="minorHAnsi"/>
                <w:b/>
                <w:bCs/>
                <w:noProof/>
              </w:rPr>
              <w:t xml:space="preserve"> ja looduskaitseliste</w:t>
            </w:r>
            <w:r w:rsidRPr="004E196B">
              <w:rPr>
                <w:rFonts w:eastAsia="Times New Roman" w:cstheme="minorHAnsi"/>
                <w:b/>
                <w:bCs/>
                <w:noProof/>
              </w:rPr>
              <w:t xml:space="preserve"> takistuste tõttu ega ainuüksi</w:t>
            </w:r>
            <w:r w:rsidRPr="00841C9F">
              <w:rPr>
                <w:rFonts w:eastAsia="Times New Roman" w:cstheme="minorHAnsi"/>
                <w:noProof/>
              </w:rPr>
              <w:t xml:space="preserve">, </w:t>
            </w:r>
            <w:r w:rsidRPr="004E196B">
              <w:rPr>
                <w:rFonts w:eastAsia="Times New Roman" w:cstheme="minorHAnsi"/>
                <w:b/>
                <w:bCs/>
                <w:noProof/>
              </w:rPr>
              <w:t xml:space="preserve">kuna kavandatava vähempakkumise toetuse ülemmäära </w:t>
            </w:r>
            <w:r>
              <w:rPr>
                <w:rFonts w:eastAsia="Times New Roman" w:cstheme="minorHAnsi"/>
                <w:b/>
                <w:bCs/>
                <w:noProof/>
              </w:rPr>
              <w:t xml:space="preserve">(20 eurot/MWh) vastu ei saa maismaatuulepargi rajamist finantseerida </w:t>
            </w:r>
            <w:r w:rsidRPr="004E196B">
              <w:rPr>
                <w:rFonts w:eastAsia="Times New Roman" w:cstheme="minorHAnsi"/>
                <w:b/>
                <w:bCs/>
                <w:i/>
                <w:iCs/>
                <w:noProof/>
              </w:rPr>
              <w:t>(LCOE on 60-70 eurot/MWh ehk vaja oleks sõlmida suures mahus PPA-sid, mis on ainuüksi sobilike vastaspoolte puudumise tõttu ebareaalne)</w:t>
            </w:r>
            <w:r w:rsidRPr="00841C9F">
              <w:rPr>
                <w:rFonts w:eastAsia="Times New Roman" w:cstheme="minorHAnsi"/>
                <w:noProof/>
              </w:rPr>
              <w:t xml:space="preserve">. </w:t>
            </w:r>
            <w:r w:rsidRPr="004E196B">
              <w:rPr>
                <w:rFonts w:eastAsia="Times New Roman" w:cstheme="minorHAnsi"/>
                <w:b/>
                <w:bCs/>
                <w:noProof/>
              </w:rPr>
              <w:t>Nii ei ole millegagi põhjendatud eeldada, et 2030+ perspektiivis taastuvelektri eesmärgi saavutamiseks ja hoidmiseks piisab 2 TWh kogusest meretuuleenergiast</w:t>
            </w:r>
            <w:r>
              <w:rPr>
                <w:rFonts w:eastAsia="Times New Roman" w:cstheme="minorHAnsi"/>
                <w:b/>
                <w:bCs/>
                <w:noProof/>
              </w:rPr>
              <w:t>, arvestades ka Eesti konkurentsivõime ja majanduskasvu eelduseks olevat kasvavat elektritarbimist</w:t>
            </w:r>
            <w:r>
              <w:rPr>
                <w:rFonts w:eastAsia="Times New Roman" w:cstheme="minorHAnsi"/>
                <w:noProof/>
              </w:rPr>
              <w:t xml:space="preserve">. </w:t>
            </w:r>
            <w:r w:rsidRPr="004E196B">
              <w:rPr>
                <w:rFonts w:eastAsia="Times New Roman" w:cstheme="minorHAnsi"/>
                <w:b/>
                <w:bCs/>
                <w:noProof/>
              </w:rPr>
              <w:t>Praegu tehtavat prognoosiviga ei oleks hiljem enam aega korrigeerida.</w:t>
            </w:r>
            <w:r>
              <w:rPr>
                <w:rFonts w:eastAsia="Times New Roman" w:cstheme="minorHAnsi"/>
                <w:noProof/>
              </w:rPr>
              <w:t xml:space="preserve"> </w:t>
            </w:r>
            <w:r w:rsidRPr="004E196B">
              <w:rPr>
                <w:rFonts w:eastAsia="Times New Roman" w:cstheme="minorHAnsi"/>
                <w:b/>
                <w:bCs/>
                <w:noProof/>
              </w:rPr>
              <w:t>Põhjendatud ei ole ka eeldus, et keegi 2 TWh vähempakkumise skeemi vastu 4 TWh toodangu mahus meretuulepargi rajab.</w:t>
            </w:r>
            <w:r w:rsidRPr="00841C9F">
              <w:rPr>
                <w:rFonts w:eastAsia="Times New Roman" w:cstheme="minorHAnsi"/>
                <w:noProof/>
              </w:rPr>
              <w:t xml:space="preserve"> </w:t>
            </w:r>
            <w:r w:rsidRPr="004E196B">
              <w:rPr>
                <w:rFonts w:eastAsia="Times New Roman" w:cstheme="minorHAnsi"/>
                <w:b/>
                <w:bCs/>
                <w:noProof/>
              </w:rPr>
              <w:t xml:space="preserve">Väiksem meretuulepark on </w:t>
            </w:r>
            <w:r>
              <w:rPr>
                <w:rFonts w:eastAsia="Times New Roman" w:cstheme="minorHAnsi"/>
                <w:b/>
                <w:bCs/>
                <w:noProof/>
              </w:rPr>
              <w:t xml:space="preserve">aga </w:t>
            </w:r>
            <w:r w:rsidRPr="004E196B">
              <w:rPr>
                <w:rFonts w:eastAsia="Times New Roman" w:cstheme="minorHAnsi"/>
                <w:b/>
                <w:bCs/>
                <w:noProof/>
              </w:rPr>
              <w:t>kõrgema hinnaga, halvemini finantseeritav ja lõppeks on ka meetme kulu kõrgem.</w:t>
            </w:r>
            <w:r w:rsidRPr="00841C9F">
              <w:rPr>
                <w:rFonts w:eastAsia="Times New Roman" w:cstheme="minorHAnsi"/>
                <w:noProof/>
              </w:rPr>
              <w:t xml:space="preserve"> </w:t>
            </w:r>
            <w:r w:rsidRPr="004E196B">
              <w:rPr>
                <w:rFonts w:eastAsia="Times New Roman" w:cstheme="minorHAnsi"/>
                <w:b/>
                <w:bCs/>
                <w:noProof/>
              </w:rPr>
              <w:t>Lisaks ei ole millegagi põhjendatud väide, et meretuuleenergia vähempakkumise kulu oleks 65 miljonit eurot aastas 1 TWh kohta</w:t>
            </w:r>
            <w:r>
              <w:rPr>
                <w:rFonts w:eastAsia="Times New Roman" w:cstheme="minorHAnsi"/>
                <w:noProof/>
              </w:rPr>
              <w:t>. N</w:t>
            </w:r>
            <w:r w:rsidRPr="004E196B">
              <w:rPr>
                <w:rFonts w:eastAsia="Times New Roman" w:cstheme="minorHAnsi"/>
                <w:b/>
                <w:bCs/>
                <w:noProof/>
              </w:rPr>
              <w:t xml:space="preserve">iisugune kulu oleks teoreetiline maksumus </w:t>
            </w:r>
            <w:r>
              <w:rPr>
                <w:rFonts w:eastAsia="Times New Roman" w:cstheme="minorHAnsi"/>
                <w:b/>
                <w:bCs/>
                <w:noProof/>
              </w:rPr>
              <w:t xml:space="preserve">pidevalt </w:t>
            </w:r>
            <w:r w:rsidRPr="004E196B">
              <w:rPr>
                <w:rFonts w:eastAsia="Times New Roman" w:cstheme="minorHAnsi"/>
                <w:b/>
                <w:bCs/>
                <w:noProof/>
              </w:rPr>
              <w:t>nullilähedaste elektrihindade korral, tegelik kulu on oluliselt madalam</w:t>
            </w:r>
            <w:r>
              <w:rPr>
                <w:rFonts w:eastAsia="Times New Roman" w:cstheme="minorHAnsi"/>
                <w:b/>
                <w:bCs/>
                <w:noProof/>
              </w:rPr>
              <w:t>, nagu näitavad ka teiste riikide arvutused.</w:t>
            </w:r>
          </w:p>
          <w:p w14:paraId="6C944A84" w14:textId="77777777" w:rsidR="0075300A" w:rsidRPr="00874DC3" w:rsidRDefault="0075300A" w:rsidP="00F04FB4">
            <w:pPr>
              <w:spacing w:before="120" w:line="276" w:lineRule="auto"/>
              <w:jc w:val="both"/>
              <w:rPr>
                <w:rFonts w:eastAsia="Calibri" w:cstheme="minorHAnsi"/>
                <w:b/>
                <w:bCs/>
                <w:i/>
                <w:iCs/>
              </w:rPr>
            </w:pPr>
            <w:r w:rsidRPr="00874DC3">
              <w:rPr>
                <w:rFonts w:eastAsia="Calibri" w:cstheme="minorHAnsi"/>
                <w:b/>
                <w:bCs/>
                <w:i/>
                <w:iCs/>
              </w:rPr>
              <w:t>Meretuuleenergia vähempakkumise maht</w:t>
            </w:r>
          </w:p>
          <w:p w14:paraId="0FFB9C12" w14:textId="77777777" w:rsidR="0075300A" w:rsidRDefault="0075300A" w:rsidP="0075300A">
            <w:pPr>
              <w:spacing w:before="120" w:line="276" w:lineRule="auto"/>
              <w:jc w:val="both"/>
              <w:rPr>
                <w:rFonts w:eastAsia="Calibri" w:cstheme="minorHAnsi"/>
              </w:rPr>
            </w:pPr>
            <w:r w:rsidRPr="00874DC3">
              <w:rPr>
                <w:rFonts w:eastAsia="Calibri" w:cstheme="minorHAnsi"/>
              </w:rPr>
              <w:t>Meile arusaadavalt eelnõuga maismaa- ega meretuuleparkide vähempakkumiste mahtu siduvalt ei kehtestata ning need määratakse kindlaks Vabariigi Valitsuse korralduses, millega volitatakse valdkonna eest vastutavat ministrit vähempakkumist korraldama (ELTS § 59</w:t>
            </w:r>
            <w:r w:rsidRPr="00874DC3">
              <w:rPr>
                <w:rFonts w:eastAsia="Calibri" w:cstheme="minorHAnsi"/>
                <w:vertAlign w:val="superscript"/>
              </w:rPr>
              <w:t>4</w:t>
            </w:r>
            <w:r w:rsidRPr="00874DC3">
              <w:rPr>
                <w:rFonts w:eastAsia="Calibri" w:cstheme="minorHAnsi"/>
              </w:rPr>
              <w:t xml:space="preserve"> lg 5-5</w:t>
            </w:r>
            <w:r w:rsidRPr="00874DC3">
              <w:rPr>
                <w:rFonts w:eastAsia="Calibri" w:cstheme="minorHAnsi"/>
                <w:vertAlign w:val="superscript"/>
              </w:rPr>
              <w:t>1</w:t>
            </w:r>
            <w:r w:rsidRPr="00874DC3">
              <w:rPr>
                <w:rFonts w:eastAsia="Calibri" w:cstheme="minorHAnsi"/>
              </w:rPr>
              <w:t xml:space="preserve">). Samas on eelnõu seletuskirja lk 1 juba välja toodud: </w:t>
            </w:r>
            <w:r w:rsidRPr="00874DC3">
              <w:rPr>
                <w:rFonts w:eastAsia="Calibri" w:cstheme="minorHAnsi"/>
                <w:i/>
                <w:iCs/>
              </w:rPr>
              <w:t xml:space="preserve">„Toetuse andmise eesmärk on tagada, et alates 2030. aastast toodetakse Eestis aastas taastuvatest energiaallikatest elektrit vähemalt ulatuses, mis vastab Eestis aastas tarbitavale elektrikogusele. Selle eesmärgi saavutamiseks on vaja Eestisse rajada kuni 2030. aastani uusi maismaatuuleparke ning pärast 2030. aastat ka vähemalt üks meretuulepark. /---/ Kavandatavate vähempakkumistega toetatakse Eestisse uute maismaatuuleparkide rajamist tootmismahus 4 </w:t>
            </w:r>
            <w:proofErr w:type="spellStart"/>
            <w:r w:rsidRPr="00874DC3">
              <w:rPr>
                <w:rFonts w:eastAsia="Calibri" w:cstheme="minorHAnsi"/>
                <w:i/>
                <w:iCs/>
              </w:rPr>
              <w:t>TWh</w:t>
            </w:r>
            <w:proofErr w:type="spellEnd"/>
            <w:r w:rsidRPr="00874DC3">
              <w:rPr>
                <w:rFonts w:eastAsia="Calibri" w:cstheme="minorHAnsi"/>
                <w:i/>
                <w:iCs/>
              </w:rPr>
              <w:t xml:space="preserve"> aastas (ca 1400 MW tootmisvõimsusega tuuleparke) ning meretuuleparke kuni 2 </w:t>
            </w:r>
            <w:proofErr w:type="spellStart"/>
            <w:r w:rsidRPr="00874DC3">
              <w:rPr>
                <w:rFonts w:eastAsia="Calibri" w:cstheme="minorHAnsi"/>
                <w:i/>
                <w:iCs/>
              </w:rPr>
              <w:t>TWh</w:t>
            </w:r>
            <w:proofErr w:type="spellEnd"/>
            <w:r w:rsidRPr="00874DC3">
              <w:rPr>
                <w:rFonts w:eastAsia="Calibri" w:cstheme="minorHAnsi"/>
                <w:i/>
                <w:iCs/>
              </w:rPr>
              <w:t xml:space="preserve"> mahus aastas (kuni 500 MW toetusalust meretuule tootmisvõimsust). 2 </w:t>
            </w:r>
            <w:proofErr w:type="spellStart"/>
            <w:r w:rsidRPr="00874DC3">
              <w:rPr>
                <w:rFonts w:eastAsia="Calibri" w:cstheme="minorHAnsi"/>
                <w:i/>
                <w:iCs/>
              </w:rPr>
              <w:t>TWh</w:t>
            </w:r>
            <w:proofErr w:type="spellEnd"/>
            <w:r w:rsidRPr="00874DC3">
              <w:rPr>
                <w:rFonts w:eastAsia="Calibri" w:cstheme="minorHAnsi"/>
                <w:i/>
                <w:iCs/>
              </w:rPr>
              <w:t xml:space="preserve"> on hinnanguline siseriiklikult tarbitava elektrienergia maht, mille vastu saab meretuulepargi rajamist toetada 2034. aastal. Toetuse abil hoogustatakse meretuuleparkide rajamist (hinnanguliselt 4 </w:t>
            </w:r>
            <w:proofErr w:type="spellStart"/>
            <w:r w:rsidRPr="00874DC3">
              <w:rPr>
                <w:rFonts w:eastAsia="Calibri" w:cstheme="minorHAnsi"/>
                <w:i/>
                <w:iCs/>
              </w:rPr>
              <w:t>TWh</w:t>
            </w:r>
            <w:proofErr w:type="spellEnd"/>
            <w:r w:rsidRPr="00874DC3">
              <w:rPr>
                <w:rFonts w:eastAsia="Calibri" w:cstheme="minorHAnsi"/>
                <w:i/>
                <w:iCs/>
              </w:rPr>
              <w:t xml:space="preserve"> tootmismahus, ca 1000 MW). /---/ Maismaatuuleparkidele suunatud vähempakkumised on kavas välja kuulutada 2025. ja 2026. ja vajadusel 2027. aastal. Vähempakkumiste mahud konkreetselt aastal sõltuvad maismaatuule konkurentsiolukorrast. Vähempakkumistel edukaks osutunud tootjad peavad tootmist alustama hiljemalt 2029. aasta jooksul. Meretuuleparkide vähempakkumine on plaanitud välja kuulutada 2025. aasta esimeses pooles (eeldatav pakkumiste esitamise aeg 2025. aasta suvel ning tootmise alustamise aeg hiljemalt 2033. aasta lõpuks).“</w:t>
            </w:r>
            <w:r w:rsidRPr="00874DC3">
              <w:rPr>
                <w:rFonts w:eastAsia="Calibri" w:cstheme="minorHAnsi"/>
              </w:rPr>
              <w:t xml:space="preserve"> Eelnõu seletuskirja lk 27 on märgitud: </w:t>
            </w:r>
            <w:r w:rsidRPr="00874DC3">
              <w:rPr>
                <w:rFonts w:eastAsia="Calibri" w:cstheme="minorHAnsi"/>
                <w:i/>
                <w:iCs/>
              </w:rPr>
              <w:t xml:space="preserve">„Loeme kõige tõenäolisemaks variandiks, et rakendub stsenaarium, kus </w:t>
            </w:r>
            <w:r w:rsidRPr="00874DC3">
              <w:rPr>
                <w:rFonts w:eastAsia="Calibri" w:cstheme="minorHAnsi"/>
                <w:i/>
                <w:iCs/>
              </w:rPr>
              <w:lastRenderedPageBreak/>
              <w:t xml:space="preserve">toetust saab 4 </w:t>
            </w:r>
            <w:proofErr w:type="spellStart"/>
            <w:r w:rsidRPr="00874DC3">
              <w:rPr>
                <w:rFonts w:eastAsia="Calibri" w:cstheme="minorHAnsi"/>
                <w:i/>
                <w:iCs/>
              </w:rPr>
              <w:t>TWh</w:t>
            </w:r>
            <w:proofErr w:type="spellEnd"/>
            <w:r w:rsidRPr="00874DC3">
              <w:rPr>
                <w:rFonts w:eastAsia="Calibri" w:cstheme="minorHAnsi"/>
                <w:i/>
                <w:iCs/>
              </w:rPr>
              <w:t xml:space="preserve"> maismaatuult ning 2 </w:t>
            </w:r>
            <w:proofErr w:type="spellStart"/>
            <w:r w:rsidRPr="00874DC3">
              <w:rPr>
                <w:rFonts w:eastAsia="Calibri" w:cstheme="minorHAnsi"/>
                <w:i/>
                <w:iCs/>
              </w:rPr>
              <w:t>TWh</w:t>
            </w:r>
            <w:proofErr w:type="spellEnd"/>
            <w:r w:rsidRPr="00874DC3">
              <w:rPr>
                <w:rFonts w:eastAsia="Calibri" w:cstheme="minorHAnsi"/>
                <w:i/>
                <w:iCs/>
              </w:rPr>
              <w:t xml:space="preserve"> meretuult (4+2).“ </w:t>
            </w:r>
            <w:r w:rsidRPr="00874DC3">
              <w:rPr>
                <w:rFonts w:eastAsia="Calibri" w:cstheme="minorHAnsi"/>
              </w:rPr>
              <w:t xml:space="preserve">Eelnõu tutvustamisel tõi Kliimaministeerium välja, et 2026. ja 2027. aastal peaks varasemate vähempakkumiste tulemusena lisanduma 300+400 MW maismaatuuleparke ning aastal 2029 alustama tootmist veel 4 </w:t>
            </w:r>
            <w:proofErr w:type="spellStart"/>
            <w:r w:rsidRPr="00874DC3">
              <w:rPr>
                <w:rFonts w:eastAsia="Calibri" w:cstheme="minorHAnsi"/>
              </w:rPr>
              <w:t>TWh</w:t>
            </w:r>
            <w:proofErr w:type="spellEnd"/>
            <w:r w:rsidRPr="00874DC3">
              <w:rPr>
                <w:rFonts w:eastAsia="Calibri" w:cstheme="minorHAnsi"/>
              </w:rPr>
              <w:t xml:space="preserve"> koguses (1400 MW võimsusega) maismaa tuuleenergia tootmisvõimsusi. Omakorda aastal 2033 peaks (kasvava tarbimise katmiseks) alustama tootmist ca 1050 MW mahus meretuuleenergia võimsust (4 </w:t>
            </w:r>
            <w:proofErr w:type="spellStart"/>
            <w:r w:rsidRPr="00874DC3">
              <w:rPr>
                <w:rFonts w:eastAsia="Calibri" w:cstheme="minorHAnsi"/>
              </w:rPr>
              <w:t>TWh</w:t>
            </w:r>
            <w:proofErr w:type="spellEnd"/>
            <w:r w:rsidRPr="00874DC3">
              <w:rPr>
                <w:rFonts w:eastAsia="Calibri" w:cstheme="minorHAnsi"/>
              </w:rPr>
              <w:t xml:space="preserve"> toodangu kogusega). Eelnõu seletuskirja lk 27 on väidetud, et toetus meretuulepargile on hinnanguliselt 65 miljonit eurot aastas 1 </w:t>
            </w:r>
            <w:proofErr w:type="spellStart"/>
            <w:r w:rsidRPr="00874DC3">
              <w:rPr>
                <w:rFonts w:eastAsia="Calibri" w:cstheme="minorHAnsi"/>
              </w:rPr>
              <w:t>TWh</w:t>
            </w:r>
            <w:proofErr w:type="spellEnd"/>
            <w:r w:rsidRPr="00874DC3">
              <w:rPr>
                <w:rFonts w:eastAsia="Calibri" w:cstheme="minorHAnsi"/>
              </w:rPr>
              <w:t xml:space="preserve"> toetusaluse mahu kohta.</w:t>
            </w:r>
          </w:p>
          <w:p w14:paraId="429F2A97" w14:textId="77777777" w:rsidR="0075300A" w:rsidRDefault="0075300A" w:rsidP="0075300A">
            <w:pPr>
              <w:spacing w:before="120" w:line="276" w:lineRule="auto"/>
              <w:jc w:val="both"/>
              <w:rPr>
                <w:rFonts w:eastAsia="Calibri" w:cstheme="minorHAnsi"/>
              </w:rPr>
            </w:pPr>
            <w:r w:rsidRPr="00874DC3">
              <w:rPr>
                <w:rFonts w:eastAsia="Calibri" w:cstheme="minorHAnsi"/>
              </w:rPr>
              <w:t>Peame siinkohal vajalikuks selgitada järgmist.</w:t>
            </w:r>
          </w:p>
          <w:p w14:paraId="6F31CAB4" w14:textId="77777777" w:rsidR="0075300A" w:rsidRDefault="0075300A" w:rsidP="0075300A">
            <w:pPr>
              <w:spacing w:before="120" w:line="276" w:lineRule="auto"/>
              <w:jc w:val="both"/>
              <w:rPr>
                <w:rFonts w:eastAsia="Calibri" w:cstheme="minorHAnsi"/>
              </w:rPr>
            </w:pPr>
            <w:r w:rsidRPr="00874DC3">
              <w:rPr>
                <w:rFonts w:eastAsia="Calibri" w:cstheme="minorHAnsi"/>
              </w:rPr>
              <w:t>Esiteks</w:t>
            </w:r>
            <w:r>
              <w:rPr>
                <w:rFonts w:eastAsia="Calibri" w:cstheme="minorHAnsi"/>
              </w:rPr>
              <w:t xml:space="preserve"> </w:t>
            </w:r>
            <w:r w:rsidRPr="00874DC3">
              <w:rPr>
                <w:rFonts w:eastAsia="Calibri" w:cstheme="minorHAnsi"/>
              </w:rPr>
              <w:t>ei ole Kliimaministeeriumi optimism, et aastaks 2030 lisandub 300+400+1400 MW mahus maismaatuuleparke, millegagi põhjendatud. Juhime tähelepanu, et viimatise vähempakkumise tulemuste alusel välja valitud maismaatuulepargid peaksid tootmist alustama 01.07.2027, ent isegi nende parkide ehitusõigust andvaid planeeringuid ei ole endiselt kehtestatud (rääkimata ehituslubadest). Veelgi hüpoteetilisem on ennustada tulevastel vähempakkumistel osalevate ja</w:t>
            </w:r>
            <w:r>
              <w:rPr>
                <w:rFonts w:eastAsia="Calibri" w:cstheme="minorHAnsi"/>
              </w:rPr>
              <w:t xml:space="preserve"> ammugi</w:t>
            </w:r>
            <w:r w:rsidRPr="00874DC3">
              <w:rPr>
                <w:rFonts w:eastAsia="Calibri" w:cstheme="minorHAnsi"/>
              </w:rPr>
              <w:t xml:space="preserve"> 2030. aastaks valmivate maismaatuuleparkide mahtu. Oleme korduvalt tähelepanu juhtinud, et vastavas mahus ehitusõigusega planeeringute kehtestamine </w:t>
            </w:r>
            <w:r w:rsidRPr="00874DC3">
              <w:rPr>
                <w:rFonts w:eastAsia="Calibri" w:cstheme="minorHAnsi"/>
                <w:i/>
                <w:iCs/>
              </w:rPr>
              <w:t xml:space="preserve">(ja hiljem veel vajadusel täiendavate keskkonnauuringute tegemine, ehituslubade saamine ja ehitamine) </w:t>
            </w:r>
            <w:r w:rsidRPr="00874DC3">
              <w:rPr>
                <w:rFonts w:eastAsia="Calibri" w:cstheme="minorHAnsi"/>
              </w:rPr>
              <w:t xml:space="preserve">nii, et kõik need maismaatuulepargid valmiksid hiljemalt 2029. aastal, on ebarealistlik või vähemalt põhjendamatult optimistlik prognoos, mis ei arvesta menetluste venimise, ajas muutuvate ja lisanduvate looduskaitseliste piirangutega jne. </w:t>
            </w:r>
            <w:r w:rsidRPr="00E30F51">
              <w:rPr>
                <w:rFonts w:eastAsia="Calibri" w:cstheme="minorHAnsi"/>
              </w:rPr>
              <w:t xml:space="preserve">Juhime lisaks tähelepanu, et eelnõu järgi ette nähtud toetuse ülemmäära (20 eurot/MWh) vastu ei ole võimalik maismaatuuleparkide rajamiseks investeerimiskindlust saavutada ega nende püstitamist finantseerida. Maismaatuuleparkide LCOE on arvestuslikult 60-70 eurot/MWh. Maismaatuuleparkide vähempakkumise näol on seega küll tegemist tänuväärse lisagarantiimeetmega, ent Kliimaministeeriumi prognoositud koguses maismaatuuleparkide realiseerimine eeldaks, et suudetakse sõlmida näiteks suures mahus </w:t>
            </w:r>
            <w:proofErr w:type="spellStart"/>
            <w:r w:rsidRPr="00E30F51">
              <w:rPr>
                <w:rFonts w:eastAsia="Calibri" w:cstheme="minorHAnsi"/>
              </w:rPr>
              <w:t>PPA-sid</w:t>
            </w:r>
            <w:proofErr w:type="spellEnd"/>
            <w:r w:rsidRPr="00E30F51">
              <w:rPr>
                <w:rFonts w:eastAsia="Calibri" w:cstheme="minorHAnsi"/>
              </w:rPr>
              <w:t xml:space="preserve">, mille alusel projektid finantseerimiskõlbulikuks muutuksid. Nii laialdases mahus </w:t>
            </w:r>
            <w:proofErr w:type="spellStart"/>
            <w:r w:rsidRPr="00E30F51">
              <w:rPr>
                <w:rFonts w:eastAsia="Calibri" w:cstheme="minorHAnsi"/>
              </w:rPr>
              <w:t>PPA-de</w:t>
            </w:r>
            <w:proofErr w:type="spellEnd"/>
            <w:r w:rsidRPr="00E30F51">
              <w:rPr>
                <w:rFonts w:eastAsia="Calibri" w:cstheme="minorHAnsi"/>
              </w:rPr>
              <w:t xml:space="preserve"> sõlmimine on ainuüksi sobilike vastaspoolte puudumise tõttu omakorda ebarealistlik. Eeltoodu vähendab veelgi Kliimaministeeriumi soovitud mahus maismaatuuleparkide rajamise realistlikkust 2030. aasta perspektiivis.</w:t>
            </w:r>
            <w:r>
              <w:rPr>
                <w:rFonts w:eastAsia="Calibri" w:cstheme="minorHAnsi"/>
              </w:rPr>
              <w:t xml:space="preserve"> </w:t>
            </w:r>
          </w:p>
          <w:p w14:paraId="643A5226" w14:textId="77777777" w:rsidR="0075300A" w:rsidRDefault="0075300A" w:rsidP="0075300A">
            <w:pPr>
              <w:spacing w:before="120" w:line="276" w:lineRule="auto"/>
              <w:jc w:val="both"/>
              <w:rPr>
                <w:rFonts w:eastAsia="Calibri" w:cstheme="minorHAnsi"/>
              </w:rPr>
            </w:pPr>
            <w:r w:rsidRPr="00E30F51">
              <w:rPr>
                <w:rFonts w:eastAsia="Calibri" w:cstheme="minorHAnsi"/>
              </w:rPr>
              <w:t xml:space="preserve">Teiseks, arvestades eeltoodut ei ole ühelt poolt põhjendatud täna eeldada, et 2030+ perspektiivis piisab taastuvelektri eesmärkide saavutamiseks ja hoidmiseks 2 </w:t>
            </w:r>
            <w:proofErr w:type="spellStart"/>
            <w:r w:rsidRPr="00E30F51">
              <w:rPr>
                <w:rFonts w:eastAsia="Calibri" w:cstheme="minorHAnsi"/>
              </w:rPr>
              <w:t>TWh</w:t>
            </w:r>
            <w:proofErr w:type="spellEnd"/>
            <w:r w:rsidRPr="00E30F51">
              <w:rPr>
                <w:rFonts w:eastAsia="Calibri" w:cstheme="minorHAnsi"/>
              </w:rPr>
              <w:t xml:space="preserve"> kogusest meretuuleenergiast</w:t>
            </w:r>
            <w:r>
              <w:rPr>
                <w:rFonts w:eastAsia="Calibri" w:cstheme="minorHAnsi"/>
              </w:rPr>
              <w:t xml:space="preserve"> </w:t>
            </w:r>
            <w:r w:rsidRPr="00E30F51">
              <w:rPr>
                <w:rFonts w:eastAsia="Calibri" w:cstheme="minorHAnsi"/>
                <w:i/>
                <w:iCs/>
              </w:rPr>
              <w:t xml:space="preserve">(ehk </w:t>
            </w:r>
            <w:r>
              <w:rPr>
                <w:rFonts w:eastAsia="Calibri" w:cstheme="minorHAnsi"/>
                <w:i/>
                <w:iCs/>
              </w:rPr>
              <w:t xml:space="preserve">justkui </w:t>
            </w:r>
            <w:r w:rsidRPr="00E30F51">
              <w:rPr>
                <w:rFonts w:eastAsia="Calibri" w:cstheme="minorHAnsi"/>
                <w:i/>
                <w:iCs/>
              </w:rPr>
              <w:t>ülejäänud osas on piisavalt maismaatuuleenergiat)</w:t>
            </w:r>
            <w:r w:rsidRPr="00E30F51">
              <w:rPr>
                <w:rFonts w:eastAsia="Calibri" w:cstheme="minorHAnsi"/>
              </w:rPr>
              <w:t xml:space="preserve">. Lisaks peame ainuvõimalikuks lähtuda elektrienergia tarbimismahu </w:t>
            </w:r>
            <w:proofErr w:type="spellStart"/>
            <w:r w:rsidRPr="00E30F51">
              <w:rPr>
                <w:rFonts w:eastAsia="Calibri" w:cstheme="minorHAnsi"/>
              </w:rPr>
              <w:t>järsemast</w:t>
            </w:r>
            <w:proofErr w:type="spellEnd"/>
            <w:r w:rsidRPr="00E30F51">
              <w:rPr>
                <w:rFonts w:eastAsia="Calibri" w:cstheme="minorHAnsi"/>
              </w:rPr>
              <w:t xml:space="preserve"> ja kiiremast kasvuprognoosist, arvestades nii elektrifitseerimise tendentsi kui ka eesmärki, et Eesti oleks konkurentsivõimeline energiamahukate tööstusinvesteeringute siiameelitamisel ja säilitamisel. Samal ajal on meretuulepargi vähempakkumine kavas lä</w:t>
            </w:r>
            <w:r w:rsidRPr="00970AAC">
              <w:rPr>
                <w:rFonts w:eastAsia="Calibri" w:cstheme="minorHAnsi"/>
              </w:rPr>
              <w:t xml:space="preserve">bi viia (ehk ühtlasi vähempakkumise esemeks olev meretuuleenergia kogus fikseerida) juba 2025. aastal, mis on ka ainuvõimalik, kuna ei TCTF raamistikku ega ka taastuvelektri tootmisvõimsuste kiire rajamise vajadust arvestades ei ole võimalik meetmega kauem oodata. Samas on meretuulepargi vähempakkumise läbiviimise </w:t>
            </w:r>
            <w:r w:rsidRPr="00970AAC">
              <w:rPr>
                <w:rFonts w:eastAsia="Calibri" w:cstheme="minorHAnsi"/>
              </w:rPr>
              <w:lastRenderedPageBreak/>
              <w:t xml:space="preserve">ajaks teadmata, millises mahus maismaatuuleparke tulevastel vähempakkumistel </w:t>
            </w:r>
            <w:r>
              <w:rPr>
                <w:rFonts w:eastAsia="Calibri" w:cstheme="minorHAnsi"/>
              </w:rPr>
              <w:t xml:space="preserve">osaleb, </w:t>
            </w:r>
            <w:r w:rsidRPr="00970AAC">
              <w:rPr>
                <w:rFonts w:eastAsia="Calibri" w:cstheme="minorHAnsi"/>
              </w:rPr>
              <w:t xml:space="preserve">edukaks </w:t>
            </w:r>
            <w:r w:rsidRPr="00C1574A">
              <w:rPr>
                <w:rFonts w:eastAsia="Calibri" w:cstheme="minorHAnsi"/>
              </w:rPr>
              <w:t xml:space="preserve">osutub või ammugi, kui paljud neist aastaks 2030 tegelikult realiseeritakse. Mõistlikku kahtlust ei ole siinjuures, et olenemata veel läbi viidavate uuringute ja keskkonnamõju hindamiste tulemustest on Eesti mereala meretuuleenergia toodangu potentsiaal aastaks 2033 oluliselt suurem kui 2 </w:t>
            </w:r>
            <w:proofErr w:type="spellStart"/>
            <w:r w:rsidRPr="00C1574A">
              <w:rPr>
                <w:rFonts w:eastAsia="Calibri" w:cstheme="minorHAnsi"/>
              </w:rPr>
              <w:t>TWh</w:t>
            </w:r>
            <w:proofErr w:type="spellEnd"/>
            <w:r w:rsidRPr="00C1574A">
              <w:rPr>
                <w:rFonts w:eastAsia="Calibri" w:cstheme="minorHAnsi"/>
              </w:rPr>
              <w:t xml:space="preserve"> ning küsimus on ainult, mis mahus vähempakkumise on riik valmis läbi viima. Arvestades samas meretuuleparkide arendamise ja rajamise ettevalmistusperioodi, ei oleks olukorras, kui selgub, et maismaatuuleparkide lisanduv maht oligi üle hinnatud ja meie viidatud riskid </w:t>
            </w:r>
            <w:r w:rsidRPr="007903D4">
              <w:rPr>
                <w:rFonts w:eastAsia="Calibri" w:cstheme="minorHAnsi"/>
              </w:rPr>
              <w:t>realiseeruvad, enam aega ega võimalust piisavalt kiires ajaraamis uut meretuuleenergia vähempakkumist läbi viia, et täiendavat tootmismahtu turule tuua</w:t>
            </w:r>
            <w:r w:rsidRPr="004B646F">
              <w:rPr>
                <w:rFonts w:eastAsia="Calibri" w:cstheme="minorHAnsi"/>
              </w:rPr>
              <w:t xml:space="preserve">. Lisaks on Kliimaministeeriumi tähelepanu varemgi juhitud, et põhjendatud ei ole eeldus, et 2 </w:t>
            </w:r>
            <w:proofErr w:type="spellStart"/>
            <w:r w:rsidRPr="004B646F">
              <w:rPr>
                <w:rFonts w:eastAsia="Calibri" w:cstheme="minorHAnsi"/>
              </w:rPr>
              <w:t>TWh</w:t>
            </w:r>
            <w:proofErr w:type="spellEnd"/>
            <w:r w:rsidRPr="004B646F">
              <w:rPr>
                <w:rFonts w:eastAsia="Calibri" w:cstheme="minorHAnsi"/>
              </w:rPr>
              <w:t xml:space="preserve"> </w:t>
            </w:r>
            <w:r>
              <w:rPr>
                <w:rFonts w:eastAsia="Calibri" w:cstheme="minorHAnsi"/>
              </w:rPr>
              <w:t xml:space="preserve">meretuuleenergia </w:t>
            </w:r>
            <w:r w:rsidRPr="004B646F">
              <w:rPr>
                <w:rFonts w:eastAsia="Calibri" w:cstheme="minorHAnsi"/>
              </w:rPr>
              <w:t xml:space="preserve">vähempakkumise koguse vastu (mis vastab 450-500 MW meretuulepargile) rajatakse 4 </w:t>
            </w:r>
            <w:proofErr w:type="spellStart"/>
            <w:r w:rsidRPr="004B646F">
              <w:rPr>
                <w:rFonts w:eastAsia="Calibri" w:cstheme="minorHAnsi"/>
              </w:rPr>
              <w:t>TWh</w:t>
            </w:r>
            <w:proofErr w:type="spellEnd"/>
            <w:r w:rsidRPr="004B646F">
              <w:rPr>
                <w:rFonts w:eastAsia="Calibri" w:cstheme="minorHAnsi"/>
              </w:rPr>
              <w:t xml:space="preserve"> koguses tootmist (mis vastab ca 1000 MW meretuulepargile).  Samal ajal on 450-500 MW tuulepark oluliselt väiksema mastaabiefektiga, mis tähendab omakorda kõrgemat LCOE-d ja väiksemat atraktiivsust nii tarneahela partnerite kui finantseerijate jaoks. Teisisõnu on </w:t>
            </w:r>
            <w:r>
              <w:rPr>
                <w:rFonts w:eastAsia="Calibri" w:cstheme="minorHAnsi"/>
              </w:rPr>
              <w:t>täiesti</w:t>
            </w:r>
            <w:r w:rsidRPr="004B646F">
              <w:rPr>
                <w:rFonts w:eastAsia="Calibri" w:cstheme="minorHAnsi"/>
              </w:rPr>
              <w:t xml:space="preserve"> realistlik, et 2 </w:t>
            </w:r>
            <w:proofErr w:type="spellStart"/>
            <w:r w:rsidRPr="004B646F">
              <w:rPr>
                <w:rFonts w:eastAsia="Calibri" w:cstheme="minorHAnsi"/>
              </w:rPr>
              <w:t>TWh</w:t>
            </w:r>
            <w:proofErr w:type="spellEnd"/>
            <w:r w:rsidRPr="004B646F">
              <w:rPr>
                <w:rFonts w:eastAsia="Calibri" w:cstheme="minorHAnsi"/>
              </w:rPr>
              <w:t xml:space="preserve"> meretuuleenergia vähempakkumise mahu vastu ei olegi võimalik meretuuleparki rajada või siis kasvab vastavalt pakutav </w:t>
            </w:r>
            <w:proofErr w:type="spellStart"/>
            <w:r w:rsidRPr="004B646F">
              <w:rPr>
                <w:rFonts w:eastAsia="Calibri" w:cstheme="minorHAnsi"/>
                <w:i/>
                <w:iCs/>
              </w:rPr>
              <w:t>strike-price</w:t>
            </w:r>
            <w:proofErr w:type="spellEnd"/>
            <w:r w:rsidRPr="004B646F">
              <w:rPr>
                <w:rFonts w:eastAsia="Calibri" w:cstheme="minorHAnsi"/>
              </w:rPr>
              <w:t xml:space="preserve"> ebaproportsionaalselt suureks.</w:t>
            </w:r>
            <w:r>
              <w:rPr>
                <w:rFonts w:eastAsia="Calibri" w:cstheme="minorHAnsi"/>
              </w:rPr>
              <w:t xml:space="preserve"> </w:t>
            </w:r>
          </w:p>
          <w:p w14:paraId="2C6E7843" w14:textId="77777777" w:rsidR="0075300A" w:rsidRDefault="0075300A" w:rsidP="0075300A">
            <w:pPr>
              <w:spacing w:before="120" w:line="276" w:lineRule="auto"/>
              <w:jc w:val="both"/>
              <w:rPr>
                <w:rFonts w:eastAsia="Calibri" w:cstheme="minorHAnsi"/>
              </w:rPr>
            </w:pPr>
            <w:r w:rsidRPr="004B646F">
              <w:rPr>
                <w:rFonts w:eastAsia="Calibri" w:cstheme="minorHAnsi"/>
              </w:rPr>
              <w:t xml:space="preserve">Kolmandaks, eelkirjeldatud probleeme ja riske arvestades kordame ettepanekut meretuulepargi vähempakkumise elektrienergia koguse mahtu tõsta. Siinkohal rõhutame, et väide, justkui kulu oleks 65 miljonit eurot aastas 1 </w:t>
            </w:r>
            <w:proofErr w:type="spellStart"/>
            <w:r w:rsidRPr="004B646F">
              <w:rPr>
                <w:rFonts w:eastAsia="Calibri" w:cstheme="minorHAnsi"/>
              </w:rPr>
              <w:t>TWh</w:t>
            </w:r>
            <w:proofErr w:type="spellEnd"/>
            <w:r w:rsidRPr="004B646F">
              <w:rPr>
                <w:rFonts w:eastAsia="Calibri" w:cstheme="minorHAnsi"/>
              </w:rPr>
              <w:t xml:space="preserve"> meretuuleenergia mahu suhtes, ei ole realistlik. Ühelt poolt eeldaks niisugune tulem, et elektrihinnad oleksid pidevalt nullilähedased. Lisaks on kindlasti päevi, kus elektrienergia turuhind on kõrgem ja johtuvalt tekib hoopis tootjal hinnavahe tasumise kohustus. Seega, 65 miljonit eurot 1 </w:t>
            </w:r>
            <w:proofErr w:type="spellStart"/>
            <w:r w:rsidRPr="004B646F">
              <w:rPr>
                <w:rFonts w:eastAsia="Calibri" w:cstheme="minorHAnsi"/>
              </w:rPr>
              <w:t>TWh</w:t>
            </w:r>
            <w:proofErr w:type="spellEnd"/>
            <w:r w:rsidRPr="004B646F">
              <w:rPr>
                <w:rFonts w:eastAsia="Calibri" w:cstheme="minorHAnsi"/>
              </w:rPr>
              <w:t xml:space="preserve"> meretuuleenergia vastu on teoreetiline maksimum ning toetuse maht kujuneb tegelikkuses oluliselt madalamaks. Võrdluseks – Euroopa Komisjon on äsja andnud TCTF-i alusel riigiabi loa Belgia meretuuleenergia kahepoolse hinnavahelepingu 20-aastasele skeemile, mille maht on 2,6 </w:t>
            </w:r>
            <w:proofErr w:type="spellStart"/>
            <w:r w:rsidRPr="004B646F">
              <w:rPr>
                <w:rFonts w:eastAsia="Calibri" w:cstheme="minorHAnsi"/>
              </w:rPr>
              <w:t>TWh</w:t>
            </w:r>
            <w:proofErr w:type="spellEnd"/>
            <w:r w:rsidRPr="004B646F">
              <w:rPr>
                <w:rFonts w:eastAsia="Calibri" w:cstheme="minorHAnsi"/>
              </w:rPr>
              <w:t xml:space="preserve"> aastas ja kogueelarve 682 miljonit eurot (ehk aastane eelarve 34,1 miljonit eurot, mis teeb 13,1 miljonit eurot/</w:t>
            </w:r>
            <w:proofErr w:type="spellStart"/>
            <w:r w:rsidRPr="004B646F">
              <w:rPr>
                <w:rFonts w:eastAsia="Calibri" w:cstheme="minorHAnsi"/>
              </w:rPr>
              <w:t>TWh</w:t>
            </w:r>
            <w:proofErr w:type="spellEnd"/>
            <w:r w:rsidRPr="004B646F">
              <w:rPr>
                <w:rFonts w:eastAsia="Calibri" w:cstheme="minorHAnsi"/>
              </w:rPr>
              <w:t xml:space="preserve"> kohta).</w:t>
            </w:r>
            <w:r w:rsidRPr="004B646F">
              <w:rPr>
                <w:rStyle w:val="Allmrkuseviide"/>
                <w:rFonts w:eastAsia="Calibri" w:cstheme="minorHAnsi"/>
              </w:rPr>
              <w:footnoteReference w:id="4"/>
            </w:r>
            <w:r w:rsidRPr="004B646F">
              <w:rPr>
                <w:rFonts w:eastAsia="Calibri" w:cstheme="minorHAnsi"/>
              </w:rPr>
              <w:t xml:space="preserve"> Seega on turvaline ja realistlik eeldus, et kui pidada talutavaks aastaseks kuluks 130 miljonit eurot, saaks meretuuleenergia vähempakkumise mahtu tõsta vähemalt 3 </w:t>
            </w:r>
            <w:proofErr w:type="spellStart"/>
            <w:r w:rsidRPr="004B646F">
              <w:rPr>
                <w:rFonts w:eastAsia="Calibri" w:cstheme="minorHAnsi"/>
              </w:rPr>
              <w:t>TWh-ni</w:t>
            </w:r>
            <w:proofErr w:type="spellEnd"/>
            <w:r w:rsidRPr="004B646F">
              <w:rPr>
                <w:rFonts w:eastAsia="Calibri" w:cstheme="minorHAnsi"/>
              </w:rPr>
              <w:t xml:space="preserve">, mis vastab 700-750 MW meretuulepargile. Niisuguses suuruses meretuulepark on väiksema LCOE ja suurema atraktiivsusega tarneahela partnerite ja finantseerijate jaoks. Nii omakorda väheneb konkurentsiolukorras ka </w:t>
            </w:r>
            <w:proofErr w:type="spellStart"/>
            <w:r w:rsidRPr="004B646F">
              <w:rPr>
                <w:rFonts w:eastAsia="Calibri" w:cstheme="minorHAnsi"/>
                <w:i/>
                <w:iCs/>
              </w:rPr>
              <w:t>strike-price</w:t>
            </w:r>
            <w:proofErr w:type="spellEnd"/>
            <w:r w:rsidRPr="004B646F">
              <w:rPr>
                <w:rFonts w:eastAsia="Calibri" w:cstheme="minorHAnsi"/>
              </w:rPr>
              <w:t>.</w:t>
            </w:r>
            <w:r>
              <w:rPr>
                <w:rFonts w:eastAsia="Calibri" w:cstheme="minorHAnsi"/>
              </w:rPr>
              <w:t xml:space="preserve"> </w:t>
            </w:r>
          </w:p>
          <w:p w14:paraId="58CCDCE9" w14:textId="2A028371" w:rsidR="00667B69" w:rsidRPr="0075300A" w:rsidRDefault="0075300A" w:rsidP="00A05AF0">
            <w:pPr>
              <w:spacing w:before="120" w:line="276" w:lineRule="auto"/>
              <w:jc w:val="both"/>
              <w:rPr>
                <w:rFonts w:eastAsia="Calibri" w:cstheme="minorHAnsi"/>
                <w:b/>
              </w:rPr>
            </w:pPr>
            <w:r w:rsidRPr="006311CF">
              <w:rPr>
                <w:rFonts w:eastAsia="Calibri" w:cstheme="minorHAnsi"/>
                <w:b/>
                <w:bCs/>
              </w:rPr>
              <w:t xml:space="preserve">Seega teeme ettepaneku meretuulepargi vähempakkumise esemeks oleva toodangu mahtu tõsta 3-4 </w:t>
            </w:r>
            <w:proofErr w:type="spellStart"/>
            <w:r w:rsidRPr="006311CF">
              <w:rPr>
                <w:rFonts w:eastAsia="Calibri" w:cstheme="minorHAnsi"/>
                <w:b/>
                <w:bCs/>
              </w:rPr>
              <w:t>TWh-ni</w:t>
            </w:r>
            <w:proofErr w:type="spellEnd"/>
            <w:r w:rsidRPr="006311CF">
              <w:rPr>
                <w:rFonts w:eastAsia="Calibri" w:cstheme="minorHAnsi"/>
                <w:b/>
                <w:bCs/>
              </w:rPr>
              <w:t xml:space="preserve"> aastas.</w:t>
            </w:r>
            <w:r>
              <w:rPr>
                <w:rFonts w:eastAsia="Calibri" w:cstheme="minorHAnsi"/>
                <w:b/>
                <w:bCs/>
              </w:rPr>
              <w:t xml:space="preserve"> </w:t>
            </w:r>
          </w:p>
        </w:tc>
        <w:tc>
          <w:tcPr>
            <w:tcW w:w="3282" w:type="dxa"/>
          </w:tcPr>
          <w:p w14:paraId="2B47A528" w14:textId="6141C668" w:rsidR="00FB14AB" w:rsidRPr="00797EDC" w:rsidRDefault="00FB14AB" w:rsidP="00FB14AB">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Mittearvestatud</w:t>
            </w:r>
          </w:p>
          <w:p w14:paraId="474D16B0" w14:textId="2AB81F42" w:rsidR="69ACF809" w:rsidRPr="00797EDC" w:rsidRDefault="69ACF809" w:rsidP="69ACF809">
            <w:pPr>
              <w:pStyle w:val="Loendilik"/>
              <w:ind w:left="-23"/>
              <w:jc w:val="both"/>
              <w:rPr>
                <w:rFonts w:ascii="Times New Roman" w:eastAsia="Calibri" w:hAnsi="Times New Roman" w:cs="Times New Roman"/>
                <w:b/>
                <w:bCs/>
                <w:sz w:val="24"/>
                <w:szCs w:val="24"/>
              </w:rPr>
            </w:pPr>
          </w:p>
          <w:p w14:paraId="4643B8E0" w14:textId="2B233EC4" w:rsidR="00667B69" w:rsidRPr="00797EDC" w:rsidRDefault="002C367C" w:rsidP="1FD6055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Vähempakkumise mahu suurendamine eeldaks toetusekoridori kitsendamist ja sellekohast otsust ei ole langetatud.</w:t>
            </w:r>
          </w:p>
        </w:tc>
      </w:tr>
      <w:tr w:rsidR="00667B69" w:rsidRPr="005C0F32" w14:paraId="615415A7" w14:textId="77777777" w:rsidTr="3199B330">
        <w:trPr>
          <w:trHeight w:val="300"/>
        </w:trPr>
        <w:tc>
          <w:tcPr>
            <w:tcW w:w="10710" w:type="dxa"/>
          </w:tcPr>
          <w:p w14:paraId="0D778143" w14:textId="2F8D0C7E" w:rsidR="00667B69" w:rsidRDefault="0075300A" w:rsidP="00A05AF0">
            <w:pPr>
              <w:spacing w:before="120" w:line="276" w:lineRule="auto"/>
              <w:jc w:val="both"/>
              <w:rPr>
                <w:rFonts w:eastAsia="Times New Roman" w:cstheme="minorHAnsi"/>
                <w:b/>
                <w:bCs/>
                <w:noProof/>
              </w:rPr>
            </w:pPr>
            <w:r w:rsidRPr="0010042B">
              <w:rPr>
                <w:rFonts w:eastAsia="Times New Roman" w:cstheme="minorHAnsi"/>
                <w:b/>
                <w:bCs/>
                <w:noProof/>
                <w:highlight w:val="cyan"/>
              </w:rPr>
              <w:lastRenderedPageBreak/>
              <w:t>UTILITAS täiendav ettepanek</w:t>
            </w:r>
          </w:p>
        </w:tc>
        <w:tc>
          <w:tcPr>
            <w:tcW w:w="3282" w:type="dxa"/>
          </w:tcPr>
          <w:p w14:paraId="3CA6AD53" w14:textId="77777777" w:rsidR="00667B69" w:rsidRPr="00797EDC" w:rsidRDefault="00667B69" w:rsidP="1FD60553">
            <w:pPr>
              <w:pStyle w:val="Loendilik"/>
              <w:ind w:left="-23"/>
              <w:jc w:val="both"/>
              <w:rPr>
                <w:rFonts w:ascii="Times New Roman" w:eastAsia="Calibri" w:hAnsi="Times New Roman" w:cs="Times New Roman"/>
                <w:b/>
                <w:bCs/>
                <w:sz w:val="24"/>
                <w:szCs w:val="24"/>
              </w:rPr>
            </w:pPr>
          </w:p>
        </w:tc>
      </w:tr>
      <w:tr w:rsidR="008A15AF" w:rsidRPr="005C0F32" w14:paraId="12BD171E" w14:textId="77777777" w:rsidTr="3199B330">
        <w:trPr>
          <w:trHeight w:val="300"/>
        </w:trPr>
        <w:tc>
          <w:tcPr>
            <w:tcW w:w="10710" w:type="dxa"/>
          </w:tcPr>
          <w:p w14:paraId="409AA69F" w14:textId="77777777" w:rsidR="00FC2B8F" w:rsidRPr="006018B1" w:rsidRDefault="00FC2B8F" w:rsidP="00FC2B8F">
            <w:pPr>
              <w:spacing w:before="120" w:line="276" w:lineRule="auto"/>
              <w:jc w:val="both"/>
              <w:rPr>
                <w:rFonts w:eastAsia="Times New Roman" w:cstheme="minorHAnsi"/>
                <w:b/>
                <w:bCs/>
                <w:noProof/>
              </w:rPr>
            </w:pPr>
            <w:r w:rsidRPr="006018B1">
              <w:rPr>
                <w:rFonts w:eastAsia="Times New Roman" w:cstheme="minorHAnsi"/>
                <w:b/>
                <w:bCs/>
                <w:noProof/>
              </w:rPr>
              <w:t xml:space="preserve">Ettepaneku sisuks on kokkuvõtlikult, et kui maismaatuuleparke kavandatakse kohaliku omavalitsuse eriplaneeringu („KOV EP“) alusel ning KOV EP </w:t>
            </w:r>
            <w:r>
              <w:rPr>
                <w:rFonts w:eastAsia="Times New Roman" w:cstheme="minorHAnsi"/>
                <w:b/>
                <w:bCs/>
                <w:noProof/>
              </w:rPr>
              <w:t xml:space="preserve">omakorda </w:t>
            </w:r>
            <w:r w:rsidRPr="006018B1">
              <w:rPr>
                <w:rFonts w:eastAsia="Times New Roman" w:cstheme="minorHAnsi"/>
                <w:b/>
                <w:bCs/>
                <w:noProof/>
              </w:rPr>
              <w:t xml:space="preserve">kehtestatakse asukoha eelvaliku </w:t>
            </w:r>
            <w:r>
              <w:rPr>
                <w:rFonts w:eastAsia="Times New Roman" w:cstheme="minorHAnsi"/>
                <w:b/>
                <w:bCs/>
                <w:noProof/>
              </w:rPr>
              <w:t xml:space="preserve">otsuse </w:t>
            </w:r>
            <w:r w:rsidRPr="006018B1">
              <w:rPr>
                <w:rFonts w:eastAsia="Times New Roman" w:cstheme="minorHAnsi"/>
                <w:b/>
                <w:bCs/>
                <w:noProof/>
              </w:rPr>
              <w:t xml:space="preserve">alusel </w:t>
            </w:r>
            <w:r w:rsidRPr="00CD4359">
              <w:rPr>
                <w:rFonts w:eastAsia="Times New Roman" w:cstheme="minorHAnsi"/>
                <w:b/>
                <w:bCs/>
                <w:i/>
                <w:iCs/>
                <w:noProof/>
              </w:rPr>
              <w:t xml:space="preserve">(ehk jääb ära teine, detailse </w:t>
            </w:r>
            <w:r w:rsidRPr="00CD4359">
              <w:rPr>
                <w:rFonts w:eastAsia="Times New Roman" w:cstheme="minorHAnsi"/>
                <w:b/>
                <w:bCs/>
                <w:i/>
                <w:iCs/>
                <w:noProof/>
              </w:rPr>
              <w:lastRenderedPageBreak/>
              <w:t>lahenduse koostamise etapp)</w:t>
            </w:r>
            <w:r w:rsidRPr="006018B1">
              <w:rPr>
                <w:rFonts w:eastAsia="Times New Roman" w:cstheme="minorHAnsi"/>
                <w:b/>
                <w:bCs/>
                <w:noProof/>
              </w:rPr>
              <w:t>, ei peaks tuulepargi edasiseks kavandamiseks väljastama projekteerimistingimusi, vaid tuulepark projekteeritaks asukoha eelvaliku otsuse alusel kehtestatud KOV EP-s sätestatud tingimustel, misjärel esitataks ehitusloa taotlus.</w:t>
            </w:r>
          </w:p>
          <w:p w14:paraId="07F6EBCB" w14:textId="77777777" w:rsidR="00FC2B8F" w:rsidRDefault="00FC2B8F" w:rsidP="00FC2B8F">
            <w:pPr>
              <w:spacing w:before="120" w:line="276" w:lineRule="auto"/>
              <w:jc w:val="both"/>
              <w:rPr>
                <w:rFonts w:eastAsia="Times New Roman" w:cstheme="minorHAnsi"/>
                <w:noProof/>
              </w:rPr>
            </w:pPr>
            <w:r>
              <w:rPr>
                <w:rFonts w:eastAsia="Times New Roman" w:cstheme="minorHAnsi"/>
                <w:noProof/>
              </w:rPr>
              <w:t>Selgitame alljärgnevalt täpsemalt.</w:t>
            </w:r>
          </w:p>
          <w:p w14:paraId="26C08FE8" w14:textId="77777777" w:rsidR="00FC2B8F" w:rsidRDefault="00FC2B8F" w:rsidP="00FC2B8F">
            <w:pPr>
              <w:spacing w:before="120" w:line="276" w:lineRule="auto"/>
              <w:jc w:val="both"/>
              <w:rPr>
                <w:rFonts w:eastAsia="Times New Roman" w:cstheme="minorHAnsi"/>
                <w:noProof/>
              </w:rPr>
            </w:pPr>
            <w:r>
              <w:rPr>
                <w:rFonts w:eastAsia="Times New Roman" w:cstheme="minorHAnsi"/>
                <w:noProof/>
              </w:rPr>
              <w:t>KOV EP</w:t>
            </w:r>
            <w:r w:rsidRPr="00AD386E">
              <w:rPr>
                <w:rFonts w:eastAsia="Times New Roman" w:cstheme="minorHAnsi"/>
                <w:noProof/>
              </w:rPr>
              <w:t xml:space="preserve"> menetlus koosneb </w:t>
            </w:r>
            <w:r>
              <w:rPr>
                <w:rFonts w:eastAsia="Times New Roman" w:cstheme="minorHAnsi"/>
                <w:noProof/>
              </w:rPr>
              <w:t xml:space="preserve">reeglina </w:t>
            </w:r>
            <w:r w:rsidRPr="00AD386E">
              <w:rPr>
                <w:rFonts w:eastAsia="Times New Roman" w:cstheme="minorHAnsi"/>
                <w:noProof/>
              </w:rPr>
              <w:t>ehitise asukoha eelvaliku tegemisest, mille eesmärk on ehitisele sobivaima asukoha leidmine, ja detailse lahenduse koostamise menetlusest</w:t>
            </w:r>
            <w:r>
              <w:rPr>
                <w:rFonts w:eastAsia="Times New Roman" w:cstheme="minorHAnsi"/>
                <w:noProof/>
              </w:rPr>
              <w:t xml:space="preserve"> (PlanS § 95 lg 7). 17.03.2023 jõustunud PlanS § 95</w:t>
            </w:r>
            <w:r>
              <w:rPr>
                <w:rFonts w:eastAsia="Times New Roman" w:cstheme="minorHAnsi"/>
                <w:noProof/>
                <w:vertAlign w:val="superscript"/>
              </w:rPr>
              <w:t>1</w:t>
            </w:r>
            <w:r>
              <w:rPr>
                <w:rFonts w:eastAsia="Times New Roman" w:cstheme="minorHAnsi"/>
                <w:noProof/>
              </w:rPr>
              <w:t xml:space="preserve"> võimaldab KOV EP kehtestada</w:t>
            </w:r>
            <w:r w:rsidRPr="00723AA3">
              <w:rPr>
                <w:rFonts w:eastAsia="Times New Roman" w:cstheme="minorHAnsi"/>
                <w:noProof/>
              </w:rPr>
              <w:t xml:space="preserve"> asukoha eelvaliku otsuse alusel</w:t>
            </w:r>
            <w:r>
              <w:rPr>
                <w:rFonts w:eastAsia="Times New Roman" w:cstheme="minorHAnsi"/>
                <w:noProof/>
              </w:rPr>
              <w:t xml:space="preserve"> (ehk jätta ära teise, detailse lahenduse koostamise etapi). PlanS § 95</w:t>
            </w:r>
            <w:r>
              <w:rPr>
                <w:rFonts w:eastAsia="Times New Roman" w:cstheme="minorHAnsi"/>
                <w:noProof/>
                <w:vertAlign w:val="superscript"/>
              </w:rPr>
              <w:t>1</w:t>
            </w:r>
            <w:r>
              <w:rPr>
                <w:rFonts w:eastAsia="Times New Roman" w:cstheme="minorHAnsi"/>
                <w:noProof/>
              </w:rPr>
              <w:t xml:space="preserve"> lg 1 sätestab täpsemalt, et k</w:t>
            </w:r>
            <w:r w:rsidRPr="00BD776E">
              <w:rPr>
                <w:rFonts w:eastAsia="Times New Roman" w:cstheme="minorHAnsi"/>
                <w:noProof/>
              </w:rPr>
              <w:t xml:space="preserve">ohaliku omavalitsuse üksus võib tuuleparki kavandava </w:t>
            </w:r>
            <w:r>
              <w:rPr>
                <w:rFonts w:eastAsia="Times New Roman" w:cstheme="minorHAnsi"/>
                <w:noProof/>
              </w:rPr>
              <w:t>KOV EP</w:t>
            </w:r>
            <w:r w:rsidRPr="00BD776E">
              <w:rPr>
                <w:rFonts w:eastAsia="Times New Roman" w:cstheme="minorHAnsi"/>
                <w:noProof/>
              </w:rPr>
              <w:t xml:space="preserve"> koostamisel loobuda detailse lahenduse koostamisest ja kehtestada planeeringu asukoha eelvaliku otsuse alusel, kui puuduvad välistavad tegurid tuulepargi edasiseks kavandamiseks </w:t>
            </w:r>
            <w:r w:rsidRPr="00BD776E">
              <w:rPr>
                <w:rFonts w:eastAsia="Times New Roman" w:cstheme="minorHAnsi"/>
                <w:noProof/>
                <w:u w:val="single"/>
              </w:rPr>
              <w:t>projekteerimistingimustega</w:t>
            </w:r>
            <w:r w:rsidRPr="00BD776E">
              <w:rPr>
                <w:rFonts w:eastAsia="Times New Roman" w:cstheme="minorHAnsi"/>
                <w:noProof/>
              </w:rPr>
              <w:t xml:space="preserve"> ning asukoha eelvaliku otsuses on toodud </w:t>
            </w:r>
            <w:r w:rsidRPr="00BD776E">
              <w:rPr>
                <w:rFonts w:eastAsia="Times New Roman" w:cstheme="minorHAnsi"/>
                <w:noProof/>
                <w:u w:val="single"/>
              </w:rPr>
              <w:t>projekteerimistingimuste</w:t>
            </w:r>
            <w:r w:rsidRPr="00BD776E">
              <w:rPr>
                <w:rFonts w:eastAsia="Times New Roman" w:cstheme="minorHAnsi"/>
                <w:noProof/>
              </w:rPr>
              <w:t xml:space="preserve"> andmise aluseks olevad tingimused.</w:t>
            </w:r>
            <w:r>
              <w:rPr>
                <w:rFonts w:eastAsia="Times New Roman" w:cstheme="minorHAnsi"/>
                <w:noProof/>
              </w:rPr>
              <w:t xml:space="preserve"> PlanS § 95</w:t>
            </w:r>
            <w:r>
              <w:rPr>
                <w:rFonts w:eastAsia="Times New Roman" w:cstheme="minorHAnsi"/>
                <w:noProof/>
                <w:vertAlign w:val="superscript"/>
              </w:rPr>
              <w:t>1</w:t>
            </w:r>
            <w:r>
              <w:rPr>
                <w:rFonts w:eastAsia="Times New Roman" w:cstheme="minorHAnsi"/>
                <w:noProof/>
              </w:rPr>
              <w:t xml:space="preserve"> lg 3 sätestab, et k</w:t>
            </w:r>
            <w:r w:rsidRPr="00636616">
              <w:rPr>
                <w:rFonts w:eastAsia="Times New Roman" w:cstheme="minorHAnsi"/>
                <w:noProof/>
              </w:rPr>
              <w:t xml:space="preserve">ohaliku omavalitsuse tuuleparki kavandava eriplaneeringu asukoha eelvaliku otsuse alusel kehtestatud </w:t>
            </w:r>
            <w:r>
              <w:rPr>
                <w:rFonts w:eastAsia="Times New Roman" w:cstheme="minorHAnsi"/>
                <w:noProof/>
              </w:rPr>
              <w:t>KOV EP</w:t>
            </w:r>
            <w:r w:rsidRPr="00636616">
              <w:rPr>
                <w:rFonts w:eastAsia="Times New Roman" w:cstheme="minorHAnsi"/>
                <w:noProof/>
              </w:rPr>
              <w:t xml:space="preserve"> on </w:t>
            </w:r>
            <w:r w:rsidRPr="00636616">
              <w:rPr>
                <w:rFonts w:eastAsia="Times New Roman" w:cstheme="minorHAnsi"/>
                <w:noProof/>
                <w:u w:val="single"/>
              </w:rPr>
              <w:t>projekteerimistingimuste</w:t>
            </w:r>
            <w:r w:rsidRPr="00636616">
              <w:rPr>
                <w:rFonts w:eastAsia="Times New Roman" w:cstheme="minorHAnsi"/>
                <w:noProof/>
              </w:rPr>
              <w:t xml:space="preserve"> andmise alus.</w:t>
            </w:r>
            <w:r>
              <w:rPr>
                <w:rFonts w:eastAsia="Times New Roman" w:cstheme="minorHAnsi"/>
                <w:noProof/>
              </w:rPr>
              <w:t xml:space="preserve"> PlanS § 95</w:t>
            </w:r>
            <w:r>
              <w:rPr>
                <w:rFonts w:eastAsia="Times New Roman" w:cstheme="minorHAnsi"/>
                <w:noProof/>
                <w:vertAlign w:val="superscript"/>
              </w:rPr>
              <w:t>1</w:t>
            </w:r>
            <w:r>
              <w:rPr>
                <w:rFonts w:eastAsia="Times New Roman" w:cstheme="minorHAnsi"/>
                <w:noProof/>
              </w:rPr>
              <w:t xml:space="preserve"> aluseks oleva eelnõu 696 SE II lugemise muudatusettepaneku nr 20.12 selgituses </w:t>
            </w:r>
            <w:r w:rsidRPr="00C50DEE">
              <w:rPr>
                <w:rFonts w:eastAsia="Times New Roman" w:cstheme="minorHAnsi"/>
                <w:noProof/>
                <w:u w:val="single"/>
              </w:rPr>
              <w:t xml:space="preserve">ei ole põhjendatud, miks üldse asukoha eelvalikule järgnev </w:t>
            </w:r>
            <w:r>
              <w:rPr>
                <w:rFonts w:eastAsia="Times New Roman" w:cstheme="minorHAnsi"/>
                <w:noProof/>
                <w:u w:val="single"/>
              </w:rPr>
              <w:t xml:space="preserve">ja projekteerimisele/ehitusloa andmisele eelnev </w:t>
            </w:r>
            <w:r w:rsidRPr="00C50DEE">
              <w:rPr>
                <w:rFonts w:eastAsia="Times New Roman" w:cstheme="minorHAnsi"/>
                <w:noProof/>
                <w:u w:val="single"/>
              </w:rPr>
              <w:t>projekteerimistingimuste etapp vajalik on</w:t>
            </w:r>
            <w:r>
              <w:rPr>
                <w:rFonts w:eastAsia="Times New Roman" w:cstheme="minorHAnsi"/>
                <w:noProof/>
              </w:rPr>
              <w:t xml:space="preserve">. </w:t>
            </w:r>
          </w:p>
          <w:p w14:paraId="445D83DC" w14:textId="77777777" w:rsidR="00FC2B8F" w:rsidRPr="00C50DEE" w:rsidRDefault="00FC2B8F" w:rsidP="00FC2B8F">
            <w:pPr>
              <w:spacing w:before="120" w:line="276" w:lineRule="auto"/>
              <w:jc w:val="both"/>
              <w:rPr>
                <w:rFonts w:eastAsia="Times New Roman" w:cstheme="minorHAnsi"/>
                <w:noProof/>
                <w:u w:val="single"/>
              </w:rPr>
            </w:pPr>
            <w:r>
              <w:rPr>
                <w:rFonts w:eastAsia="Times New Roman" w:cstheme="minorHAnsi"/>
                <w:noProof/>
              </w:rPr>
              <w:t xml:space="preserve">Põhjendame alljärgnevalt lühidalt, </w:t>
            </w:r>
            <w:r w:rsidRPr="00C50DEE">
              <w:rPr>
                <w:rFonts w:eastAsia="Times New Roman" w:cstheme="minorHAnsi"/>
                <w:noProof/>
                <w:u w:val="single"/>
              </w:rPr>
              <w:t>miks projekteerimistingimuste andmise saaks kirjeldatud olukorras sisuliste probleemideta ära jätta.</w:t>
            </w:r>
          </w:p>
          <w:p w14:paraId="52985AD3" w14:textId="77777777" w:rsidR="00FC2B8F" w:rsidRDefault="00FC2B8F" w:rsidP="00FC2B8F">
            <w:pPr>
              <w:spacing w:before="120" w:line="276" w:lineRule="auto"/>
              <w:jc w:val="both"/>
              <w:rPr>
                <w:rFonts w:eastAsia="Times New Roman" w:cstheme="minorHAnsi"/>
                <w:noProof/>
              </w:rPr>
            </w:pPr>
            <w:r>
              <w:rPr>
                <w:rFonts w:eastAsia="Times New Roman" w:cstheme="minorHAnsi"/>
                <w:noProof/>
              </w:rPr>
              <w:t>Riigikohus on selgitanud, et p</w:t>
            </w:r>
            <w:r w:rsidRPr="00310774">
              <w:rPr>
                <w:rFonts w:eastAsia="Times New Roman" w:cstheme="minorHAnsi"/>
                <w:noProof/>
              </w:rPr>
              <w:t>rojekteerimistingimuste andmine on üks osa ehitusloa menetlusest, sest nende väljastamine on seotud konkreetse ehitusloa ning selle alusel rajatava ehitisega. Ehitusloa andmisega projekteerimistingimuste õiguslik tähendus ammendub.</w:t>
            </w:r>
            <w:r>
              <w:rPr>
                <w:rStyle w:val="Allmrkuseviide"/>
                <w:rFonts w:eastAsia="Times New Roman" w:cstheme="minorHAnsi"/>
                <w:noProof/>
              </w:rPr>
              <w:footnoteReference w:id="5"/>
            </w:r>
            <w:r>
              <w:rPr>
                <w:rFonts w:eastAsia="Times New Roman" w:cstheme="minorHAnsi"/>
                <w:noProof/>
              </w:rPr>
              <w:t xml:space="preserve"> Vaadates PlanS-i ja EhS-i, siis eelkõige on projekteerimistingimuste andmist peetud vajalikuks, kui ei ole tehtud piisava detailsusastmega planeeringut (on näiteks üksnes üldplaneering) või soovitakse olemasolevat detailset planeeringut täpsustada </w:t>
            </w:r>
            <w:r w:rsidRPr="00A328B8">
              <w:rPr>
                <w:rFonts w:eastAsia="Times New Roman" w:cstheme="minorHAnsi"/>
                <w:i/>
                <w:iCs/>
                <w:noProof/>
              </w:rPr>
              <w:t>(vt PlanS § 74 lg 5, PlanS § 75 lg 1 p 18, PlanS § 125 lg 5, EhS § 26 ja EhS § 27)</w:t>
            </w:r>
            <w:r>
              <w:rPr>
                <w:rFonts w:eastAsia="Times New Roman" w:cstheme="minorHAnsi"/>
                <w:noProof/>
              </w:rPr>
              <w:t xml:space="preserve">. </w:t>
            </w:r>
            <w:r w:rsidRPr="00E60EB7">
              <w:rPr>
                <w:rFonts w:eastAsia="Times New Roman" w:cstheme="minorHAnsi"/>
                <w:noProof/>
                <w:u w:val="single"/>
              </w:rPr>
              <w:t>Antud juhul on Regionaal- ja Põllumajandusministeerium ise suunanud omavalitsusi, planeeringu koostajaid ja planeeringu koostamisest huvitatud isikuid (arendajaid) PlanS § 95</w:t>
            </w:r>
            <w:r w:rsidRPr="00E60EB7">
              <w:rPr>
                <w:rFonts w:eastAsia="Times New Roman" w:cstheme="minorHAnsi"/>
                <w:noProof/>
                <w:u w:val="single"/>
                <w:vertAlign w:val="superscript"/>
              </w:rPr>
              <w:t>1</w:t>
            </w:r>
            <w:r w:rsidRPr="00E60EB7">
              <w:rPr>
                <w:rFonts w:eastAsia="Times New Roman" w:cstheme="minorHAnsi"/>
                <w:noProof/>
                <w:u w:val="single"/>
              </w:rPr>
              <w:t xml:space="preserve"> tõlgendama nii, et detailse lahenduse koostamisest loobumiseks peab KOV EP asukoha eelvaliku etapp olema tavapärasest suurema täpsusastmega</w:t>
            </w:r>
            <w:r>
              <w:rPr>
                <w:rFonts w:eastAsia="Times New Roman" w:cstheme="minorHAnsi"/>
                <w:noProof/>
              </w:rPr>
              <w:t>. Nii näiteks on kooskõlastamisringil EhSRS</w:t>
            </w:r>
            <w:r w:rsidRPr="0004000A">
              <w:rPr>
                <w:rFonts w:eastAsia="Times New Roman" w:cstheme="minorHAnsi"/>
                <w:noProof/>
              </w:rPr>
              <w:t xml:space="preserve">, </w:t>
            </w:r>
            <w:r>
              <w:rPr>
                <w:rFonts w:eastAsia="Times New Roman" w:cstheme="minorHAnsi"/>
                <w:noProof/>
              </w:rPr>
              <w:t>KeTS</w:t>
            </w:r>
            <w:r w:rsidRPr="0004000A">
              <w:rPr>
                <w:rFonts w:eastAsia="Times New Roman" w:cstheme="minorHAnsi"/>
                <w:noProof/>
              </w:rPr>
              <w:t xml:space="preserve"> ning </w:t>
            </w:r>
            <w:r>
              <w:rPr>
                <w:rFonts w:eastAsia="Times New Roman" w:cstheme="minorHAnsi"/>
                <w:noProof/>
              </w:rPr>
              <w:t>PlanS</w:t>
            </w:r>
            <w:r w:rsidRPr="0004000A">
              <w:rPr>
                <w:rFonts w:eastAsia="Times New Roman" w:cstheme="minorHAnsi"/>
                <w:noProof/>
              </w:rPr>
              <w:t xml:space="preserve"> muutmise seaduse (taastuvenergia kasutuselevõtu kiirendamine) eelnõu</w:t>
            </w:r>
            <w:r>
              <w:rPr>
                <w:rFonts w:eastAsia="Times New Roman" w:cstheme="minorHAnsi"/>
                <w:noProof/>
              </w:rPr>
              <w:t>,</w:t>
            </w:r>
            <w:r>
              <w:rPr>
                <w:rStyle w:val="Allmrkuseviide"/>
                <w:rFonts w:eastAsia="Times New Roman" w:cstheme="minorHAnsi"/>
                <w:noProof/>
              </w:rPr>
              <w:footnoteReference w:id="6"/>
            </w:r>
            <w:r>
              <w:rPr>
                <w:rFonts w:eastAsia="Times New Roman" w:cstheme="minorHAnsi"/>
                <w:noProof/>
              </w:rPr>
              <w:t xml:space="preserve"> mille kohaselt täiendatakse PlanS §</w:t>
            </w:r>
            <w:r w:rsidRPr="0001782C">
              <w:rPr>
                <w:rFonts w:eastAsia="Times New Roman" w:cstheme="minorHAnsi"/>
                <w:bCs/>
                <w:noProof/>
              </w:rPr>
              <w:t xml:space="preserve"> 95</w:t>
            </w:r>
            <w:r w:rsidRPr="0001782C">
              <w:rPr>
                <w:rFonts w:eastAsia="Times New Roman" w:cstheme="minorHAnsi"/>
                <w:bCs/>
                <w:noProof/>
                <w:vertAlign w:val="superscript"/>
              </w:rPr>
              <w:t>1</w:t>
            </w:r>
            <w:r w:rsidRPr="0001782C">
              <w:rPr>
                <w:rFonts w:eastAsia="Times New Roman" w:cstheme="minorHAnsi"/>
                <w:bCs/>
                <w:noProof/>
              </w:rPr>
              <w:t xml:space="preserve"> lõikega 1</w:t>
            </w:r>
            <w:r w:rsidRPr="0001782C">
              <w:rPr>
                <w:rFonts w:eastAsia="Times New Roman" w:cstheme="minorHAnsi"/>
                <w:bCs/>
                <w:noProof/>
                <w:vertAlign w:val="superscript"/>
              </w:rPr>
              <w:t>1</w:t>
            </w:r>
            <w:r w:rsidRPr="0001782C">
              <w:rPr>
                <w:rFonts w:eastAsia="Times New Roman" w:cstheme="minorHAnsi"/>
                <w:bCs/>
                <w:noProof/>
              </w:rPr>
              <w:t xml:space="preserve"> järgmises sõnastuses:</w:t>
            </w:r>
            <w:r>
              <w:rPr>
                <w:rFonts w:eastAsia="Times New Roman" w:cstheme="minorHAnsi"/>
                <w:bCs/>
                <w:noProof/>
              </w:rPr>
              <w:t xml:space="preserve"> </w:t>
            </w:r>
            <w:r w:rsidRPr="0001782C">
              <w:rPr>
                <w:rFonts w:eastAsia="Times New Roman" w:cstheme="minorHAnsi"/>
                <w:i/>
                <w:iCs/>
                <w:noProof/>
              </w:rPr>
              <w:t xml:space="preserve">„Detailse lahenduse koostamisest loobumisel käesoleva paragrahvi lõikes 1 sätestatud juhul määratakse </w:t>
            </w:r>
            <w:r w:rsidRPr="0001782C">
              <w:rPr>
                <w:rFonts w:eastAsia="Times New Roman" w:cstheme="minorHAnsi"/>
                <w:i/>
                <w:iCs/>
                <w:noProof/>
              </w:rPr>
              <w:lastRenderedPageBreak/>
              <w:t>tuulepargi maakasutus- ja ehitustingimused, sealhulgas elektrituulikute maksimaalne kõrgus, arv ja põhimõtteline asukoht, kohaliku omavalitsuse eriplaneeringu asukoha eelvaliku etapis.“</w:t>
            </w:r>
          </w:p>
          <w:p w14:paraId="39E12A91" w14:textId="77777777" w:rsidR="00FC2B8F" w:rsidRDefault="00FC2B8F" w:rsidP="00FC2B8F">
            <w:pPr>
              <w:spacing w:before="120" w:line="276" w:lineRule="auto"/>
              <w:jc w:val="both"/>
              <w:rPr>
                <w:rFonts w:eastAsia="Times New Roman" w:cstheme="minorHAnsi"/>
                <w:noProof/>
              </w:rPr>
            </w:pPr>
            <w:r>
              <w:rPr>
                <w:rFonts w:eastAsia="Times New Roman" w:cstheme="minorHAnsi"/>
                <w:noProof/>
              </w:rPr>
              <w:t>Võrdluseks – EhS §-s 26</w:t>
            </w:r>
            <w:r>
              <w:rPr>
                <w:rFonts w:eastAsia="Times New Roman" w:cstheme="minorHAnsi"/>
                <w:noProof/>
                <w:vertAlign w:val="superscript"/>
              </w:rPr>
              <w:t xml:space="preserve">1 </w:t>
            </w:r>
            <w:r>
              <w:rPr>
                <w:rFonts w:eastAsia="Times New Roman" w:cstheme="minorHAnsi"/>
                <w:noProof/>
              </w:rPr>
              <w:t xml:space="preserve">on sätestatud, et </w:t>
            </w:r>
            <w:r w:rsidRPr="00432629">
              <w:rPr>
                <w:rFonts w:eastAsia="Times New Roman" w:cstheme="minorHAnsi"/>
                <w:noProof/>
              </w:rPr>
              <w:t xml:space="preserve">asukoha eelvaliku otsuse alusel kehtestatud </w:t>
            </w:r>
            <w:r>
              <w:rPr>
                <w:rFonts w:eastAsia="Times New Roman" w:cstheme="minorHAnsi"/>
                <w:noProof/>
              </w:rPr>
              <w:t>KOV EP</w:t>
            </w:r>
            <w:r w:rsidRPr="00432629">
              <w:rPr>
                <w:rFonts w:eastAsia="Times New Roman" w:cstheme="minorHAnsi"/>
                <w:noProof/>
              </w:rPr>
              <w:t xml:space="preserve"> alusel rajatavate ehitiste ehitusprojekti koostamiseks</w:t>
            </w:r>
            <w:r>
              <w:rPr>
                <w:rFonts w:eastAsia="Times New Roman" w:cstheme="minorHAnsi"/>
                <w:noProof/>
              </w:rPr>
              <w:t xml:space="preserve"> projekteerimistingimuste andmisel </w:t>
            </w:r>
            <w:r w:rsidRPr="00B249E4">
              <w:rPr>
                <w:rFonts w:eastAsia="Times New Roman" w:cstheme="minorHAnsi"/>
                <w:noProof/>
              </w:rPr>
              <w:t xml:space="preserve">lähtutakse </w:t>
            </w:r>
            <w:r>
              <w:rPr>
                <w:rFonts w:eastAsia="Times New Roman" w:cstheme="minorHAnsi"/>
                <w:noProof/>
              </w:rPr>
              <w:t>EhS</w:t>
            </w:r>
            <w:r w:rsidRPr="00B249E4">
              <w:rPr>
                <w:rFonts w:eastAsia="Times New Roman" w:cstheme="minorHAnsi"/>
                <w:noProof/>
              </w:rPr>
              <w:t xml:space="preserve"> § 26 lõike 3 punktidest 2 ja 4 ning </w:t>
            </w:r>
            <w:r w:rsidRPr="00B249E4">
              <w:rPr>
                <w:rFonts w:eastAsia="Times New Roman" w:cstheme="minorHAnsi"/>
                <w:noProof/>
                <w:u w:val="single"/>
              </w:rPr>
              <w:t>määratakse lõikes 4 nimetatud tingimused</w:t>
            </w:r>
            <w:r w:rsidRPr="00670A20">
              <w:rPr>
                <w:rFonts w:eastAsia="Times New Roman" w:cstheme="minorHAnsi"/>
                <w:noProof/>
              </w:rPr>
              <w:t xml:space="preserve">. </w:t>
            </w:r>
            <w:r>
              <w:rPr>
                <w:rFonts w:eastAsia="Times New Roman" w:cstheme="minorHAnsi"/>
                <w:noProof/>
              </w:rPr>
              <w:t>EhS § 26 lg 4 sätestab,</w:t>
            </w:r>
            <w:r w:rsidRPr="00D66612">
              <w:rPr>
                <w:rFonts w:eastAsia="Times New Roman" w:cstheme="minorHAnsi"/>
                <w:noProof/>
              </w:rPr>
              <w:t xml:space="preserve"> </w:t>
            </w:r>
            <w:r>
              <w:rPr>
                <w:rFonts w:eastAsia="Times New Roman" w:cstheme="minorHAnsi"/>
                <w:noProof/>
              </w:rPr>
              <w:t>millised parameetrid p</w:t>
            </w:r>
            <w:r w:rsidRPr="00D66612">
              <w:rPr>
                <w:rFonts w:eastAsia="Times New Roman" w:cstheme="minorHAnsi"/>
                <w:noProof/>
              </w:rPr>
              <w:t xml:space="preserve">rojekteerimistingimustega asjakohasel juhul </w:t>
            </w:r>
            <w:r>
              <w:rPr>
                <w:rFonts w:eastAsia="Times New Roman" w:cstheme="minorHAnsi"/>
                <w:noProof/>
              </w:rPr>
              <w:t xml:space="preserve">määratakse, näiteks suurim lubatud arv maa-alal (p 2), asukoht (p 3) ja kõrgus (p 5). EhS § 26 lg-s 4 sätestatud asjakohased tingimused on võimalik </w:t>
            </w:r>
            <w:r w:rsidRPr="0036162A">
              <w:rPr>
                <w:rFonts w:eastAsia="Times New Roman" w:cstheme="minorHAnsi"/>
                <w:i/>
                <w:iCs/>
                <w:noProof/>
              </w:rPr>
              <w:t>(ja arvestades ministeeriumi seisukohti ja eelviidatud muudatusettepanekut tulebki)</w:t>
            </w:r>
            <w:r>
              <w:rPr>
                <w:rFonts w:eastAsia="Times New Roman" w:cstheme="minorHAnsi"/>
                <w:noProof/>
              </w:rPr>
              <w:t xml:space="preserve"> </w:t>
            </w:r>
            <w:r w:rsidRPr="00555030">
              <w:rPr>
                <w:rFonts w:eastAsia="Times New Roman" w:cstheme="minorHAnsi"/>
                <w:noProof/>
              </w:rPr>
              <w:t xml:space="preserve">projekteerimistingimustega analoogses täpsusastmes </w:t>
            </w:r>
            <w:r>
              <w:rPr>
                <w:rFonts w:eastAsia="Times New Roman" w:cstheme="minorHAnsi"/>
                <w:noProof/>
              </w:rPr>
              <w:t xml:space="preserve">määrata juba KOV EP asukoha eelvaliku lahenduses endas (kui loobutakse detailse lahenduse koostamisest). </w:t>
            </w:r>
          </w:p>
          <w:p w14:paraId="0E2AD552" w14:textId="77777777" w:rsidR="00FC2B8F" w:rsidRDefault="00FC2B8F" w:rsidP="00FC2B8F">
            <w:pPr>
              <w:spacing w:before="120" w:line="276" w:lineRule="auto"/>
              <w:jc w:val="both"/>
              <w:rPr>
                <w:rFonts w:eastAsia="Times New Roman" w:cstheme="minorHAnsi"/>
                <w:noProof/>
              </w:rPr>
            </w:pPr>
            <w:r>
              <w:rPr>
                <w:rFonts w:eastAsia="Times New Roman" w:cstheme="minorHAnsi"/>
                <w:noProof/>
              </w:rPr>
              <w:t xml:space="preserve">Teisisõnu puudub siin projekteerimistingimustel eraldiseisev väärtus. Tõsi, Riigikohus lisas eeltoodud lahendis, et </w:t>
            </w:r>
            <w:r w:rsidRPr="008B3A8E">
              <w:rPr>
                <w:rFonts w:eastAsia="Times New Roman" w:cstheme="minorHAnsi"/>
                <w:noProof/>
              </w:rPr>
              <w:t>projekteerimistingimuste eesmärk</w:t>
            </w:r>
            <w:r>
              <w:rPr>
                <w:rFonts w:eastAsia="Times New Roman" w:cstheme="minorHAnsi"/>
                <w:noProof/>
              </w:rPr>
              <w:t xml:space="preserve"> (kui nende andmine on ette nähtud) on muu hulgas</w:t>
            </w:r>
            <w:r w:rsidRPr="008B3A8E">
              <w:rPr>
                <w:rFonts w:eastAsia="Times New Roman" w:cstheme="minorHAnsi"/>
                <w:noProof/>
              </w:rPr>
              <w:t xml:space="preserve"> ära hoida hilisemaid vaidlusi ehitusloa taotlemisel, kaasata puudutatud isikud ning anda siduvaid nõudeid ehitise projekteerimiseks</w:t>
            </w:r>
            <w:r>
              <w:rPr>
                <w:rFonts w:eastAsia="Times New Roman" w:cstheme="minorHAnsi"/>
                <w:noProof/>
              </w:rPr>
              <w:t>.</w:t>
            </w:r>
            <w:r>
              <w:rPr>
                <w:rStyle w:val="Allmrkuseviide"/>
                <w:rFonts w:eastAsia="Times New Roman" w:cstheme="minorHAnsi"/>
                <w:noProof/>
              </w:rPr>
              <w:footnoteReference w:id="7"/>
            </w:r>
            <w:r>
              <w:rPr>
                <w:rFonts w:eastAsia="Times New Roman" w:cstheme="minorHAnsi"/>
                <w:noProof/>
              </w:rPr>
              <w:t xml:space="preserve"> </w:t>
            </w:r>
            <w:r w:rsidRPr="00A54D99">
              <w:rPr>
                <w:rFonts w:eastAsia="Times New Roman" w:cstheme="minorHAnsi"/>
                <w:noProof/>
                <w:u w:val="single"/>
              </w:rPr>
              <w:t>Kõiki neid funktsioone täidab aga täna ka KOV EP asukoha eelvaliku etapp</w:t>
            </w:r>
            <w:r>
              <w:rPr>
                <w:rFonts w:eastAsia="Times New Roman" w:cstheme="minorHAnsi"/>
                <w:noProof/>
              </w:rPr>
              <w:t xml:space="preserve">, milles (detailse lahenduse koostamisest loobumisel) projekteerimise aluseks olevad kriteeriumid kindlaks määratakse (ja eelnevalt seega ka avalikkusega läbi räägitakse). </w:t>
            </w:r>
          </w:p>
          <w:p w14:paraId="1C4659B2" w14:textId="77777777" w:rsidR="00FC2B8F" w:rsidRDefault="00FC2B8F" w:rsidP="00FC2B8F">
            <w:pPr>
              <w:spacing w:before="120" w:line="276" w:lineRule="auto"/>
              <w:jc w:val="both"/>
              <w:rPr>
                <w:rFonts w:eastAsia="Times New Roman" w:cstheme="minorHAnsi"/>
                <w:b/>
                <w:bCs/>
                <w:noProof/>
              </w:rPr>
            </w:pPr>
            <w:r w:rsidRPr="00760E59">
              <w:rPr>
                <w:rFonts w:eastAsia="Times New Roman" w:cstheme="minorHAnsi"/>
                <w:b/>
                <w:bCs/>
                <w:noProof/>
              </w:rPr>
              <w:t xml:space="preserve">Seega, kokkuvõttes ei ole projekteerimistingimuste andmine KOV EP asukoha eelvaliku järel (kui </w:t>
            </w:r>
            <w:r>
              <w:rPr>
                <w:rFonts w:eastAsia="Times New Roman" w:cstheme="minorHAnsi"/>
                <w:b/>
                <w:bCs/>
                <w:noProof/>
              </w:rPr>
              <w:t>detailse lahenduse koostamisest loobutakse</w:t>
            </w:r>
            <w:r w:rsidRPr="00760E59">
              <w:rPr>
                <w:rFonts w:eastAsia="Times New Roman" w:cstheme="minorHAnsi"/>
                <w:b/>
                <w:bCs/>
                <w:noProof/>
              </w:rPr>
              <w:t>) ja ehitusprojekti koostamise eel vajalik,</w:t>
            </w:r>
            <w:r>
              <w:rPr>
                <w:rFonts w:eastAsia="Times New Roman" w:cstheme="minorHAnsi"/>
                <w:b/>
                <w:bCs/>
                <w:noProof/>
              </w:rPr>
              <w:t xml:space="preserve"> kuna projekteerimise aluseks olevad tingimused saab niisugusel juhul määrata asukoha eelvaliku lahenduses ning edasi koostada samadest tingimustest lähtudes ehitusprojekti. Ehitusprojekti alusel ehitusloa andmisel tuleb KOV EP nõudeid nagunii järgida (EhS § 42 lg 1 ja EhS § 44 p 1).  Projekteerimistingimuste etapi ärajätmine annab minimaalse ajavõidu 30-60 päeva (EhS § 31 lg 2), praktikas tõenäoliselt veelgi enam.</w:t>
            </w:r>
          </w:p>
          <w:p w14:paraId="51EBD043" w14:textId="77777777" w:rsidR="00FC2B8F" w:rsidRDefault="00FC2B8F" w:rsidP="00FC2B8F">
            <w:pPr>
              <w:spacing w:before="120" w:line="276" w:lineRule="auto"/>
              <w:jc w:val="both"/>
              <w:rPr>
                <w:rFonts w:eastAsia="Times New Roman" w:cstheme="minorHAnsi"/>
                <w:b/>
                <w:bCs/>
                <w:noProof/>
              </w:rPr>
            </w:pPr>
            <w:r>
              <w:rPr>
                <w:rFonts w:eastAsia="Times New Roman" w:cstheme="minorHAnsi"/>
                <w:b/>
                <w:bCs/>
                <w:noProof/>
              </w:rPr>
              <w:t>Täpselt sama loogika käib ka olukorra kohta, kui tuuleparki kavandatakse üldplaneeringu alusel – ka niisugusel juhul on võimalik üldplaneeringu järel detailplaneeringu koostamise asemel</w:t>
            </w:r>
            <w:r>
              <w:rPr>
                <w:rStyle w:val="Allmrkuseviide"/>
                <w:rFonts w:eastAsia="Times New Roman" w:cstheme="minorHAnsi"/>
                <w:b/>
                <w:bCs/>
                <w:noProof/>
              </w:rPr>
              <w:footnoteReference w:id="8"/>
            </w:r>
            <w:r>
              <w:rPr>
                <w:rFonts w:eastAsia="Times New Roman" w:cstheme="minorHAnsi"/>
                <w:b/>
                <w:bCs/>
                <w:noProof/>
              </w:rPr>
              <w:t xml:space="preserve"> täna kehtiva PlanS-i ja EhS-i järgi tuuleparki edasi kavandada projekteerimistingimustega (EhS § 26 lg 1).</w:t>
            </w:r>
            <w:r>
              <w:rPr>
                <w:rStyle w:val="Allmrkuseviide"/>
                <w:rFonts w:eastAsia="Times New Roman" w:cstheme="minorHAnsi"/>
                <w:b/>
                <w:bCs/>
                <w:noProof/>
              </w:rPr>
              <w:footnoteReference w:id="9"/>
            </w:r>
            <w:r>
              <w:rPr>
                <w:rFonts w:eastAsia="Times New Roman" w:cstheme="minorHAnsi"/>
                <w:b/>
                <w:bCs/>
                <w:noProof/>
              </w:rPr>
              <w:t xml:space="preserve"> Niisuguseks võimaluseks peab üldplaneering olema tuuleparki kavandavas osas jällegi tavapärasest suurema täpsusastmega (analoogselt KOV EP asukoha eelvalikuga, mille puhul loobutakse detailse lahenduse koostamisest). Järelikult on ka siin võimalik projekteerimistingimuste etapist samadel põhjustel loobuda.</w:t>
            </w:r>
          </w:p>
          <w:p w14:paraId="5EA188EF" w14:textId="77777777" w:rsidR="00FC2B8F" w:rsidRDefault="00FC2B8F" w:rsidP="00FC2B8F">
            <w:pPr>
              <w:keepNext/>
              <w:spacing w:before="120" w:line="276" w:lineRule="auto"/>
              <w:jc w:val="both"/>
              <w:rPr>
                <w:rFonts w:eastAsia="Times New Roman" w:cstheme="minorHAnsi"/>
                <w:b/>
                <w:bCs/>
                <w:noProof/>
              </w:rPr>
            </w:pPr>
            <w:r>
              <w:rPr>
                <w:rFonts w:eastAsia="Times New Roman" w:cstheme="minorHAnsi"/>
                <w:b/>
                <w:bCs/>
                <w:noProof/>
              </w:rPr>
              <w:lastRenderedPageBreak/>
              <w:t>Eeltoodust tulenevalt teeme ettepaneku muuta:</w:t>
            </w:r>
          </w:p>
          <w:p w14:paraId="760F168E" w14:textId="77777777" w:rsidR="00FC2B8F" w:rsidRPr="007E6F35" w:rsidRDefault="00FC2B8F" w:rsidP="00F11797">
            <w:pPr>
              <w:pStyle w:val="Loendilik"/>
              <w:numPr>
                <w:ilvl w:val="0"/>
                <w:numId w:val="8"/>
              </w:numPr>
              <w:spacing w:before="120" w:line="276" w:lineRule="auto"/>
              <w:ind w:left="714" w:hanging="357"/>
              <w:contextualSpacing w:val="0"/>
              <w:jc w:val="both"/>
              <w:rPr>
                <w:rFonts w:eastAsia="Times New Roman" w:cstheme="minorHAnsi"/>
                <w:i/>
                <w:iCs/>
                <w:noProof/>
              </w:rPr>
            </w:pPr>
            <w:r w:rsidRPr="007E6F35">
              <w:rPr>
                <w:rFonts w:eastAsia="Times New Roman" w:cstheme="minorHAnsi"/>
                <w:noProof/>
              </w:rPr>
              <w:t>PlanS § 95</w:t>
            </w:r>
            <w:r w:rsidRPr="007E6F35">
              <w:rPr>
                <w:rFonts w:eastAsia="Times New Roman" w:cstheme="minorHAnsi"/>
                <w:noProof/>
                <w:vertAlign w:val="superscript"/>
              </w:rPr>
              <w:t>1</w:t>
            </w:r>
            <w:r w:rsidRPr="007E6F35">
              <w:rPr>
                <w:rFonts w:eastAsia="Times New Roman" w:cstheme="minorHAnsi"/>
                <w:noProof/>
              </w:rPr>
              <w:t xml:space="preserve"> lg-t 1 järgmiselt: </w:t>
            </w:r>
            <w:r w:rsidRPr="007E6F35">
              <w:rPr>
                <w:rFonts w:eastAsia="Times New Roman" w:cstheme="minorHAnsi"/>
                <w:i/>
                <w:iCs/>
                <w:noProof/>
              </w:rPr>
              <w:t xml:space="preserve">„(1) Kohaliku omavalitsuse üksus võib tuuleparki kavandava kohaliku omavalitsuse eriplaneeringu koostamisel loobuda detailse lahenduse koostamisest ja kehtestada planeeringu asukoha eelvaliku otsuse alusel, kui puuduvad välistavad tegurid tuulepargi edasiseks kavandamiseks </w:t>
            </w:r>
            <w:r w:rsidRPr="007E6F35">
              <w:rPr>
                <w:rFonts w:eastAsia="Times New Roman" w:cstheme="minorHAnsi"/>
                <w:i/>
                <w:iCs/>
                <w:noProof/>
                <w:u w:val="single"/>
              </w:rPr>
              <w:t>ehitusprojektiga</w:t>
            </w:r>
            <w:r w:rsidRPr="007E6F35">
              <w:rPr>
                <w:rFonts w:eastAsia="Times New Roman" w:cstheme="minorHAnsi"/>
                <w:i/>
                <w:iCs/>
                <w:noProof/>
              </w:rPr>
              <w:t xml:space="preserve"> ning asukoha eelvaliku otsuses on toodud </w:t>
            </w:r>
            <w:r w:rsidRPr="007E6F35">
              <w:rPr>
                <w:rFonts w:eastAsia="Times New Roman" w:cstheme="minorHAnsi"/>
                <w:i/>
                <w:iCs/>
                <w:noProof/>
                <w:u w:val="single"/>
              </w:rPr>
              <w:t>ehitusprojekti koostamise</w:t>
            </w:r>
            <w:r w:rsidRPr="007E6F35">
              <w:rPr>
                <w:rFonts w:eastAsia="Times New Roman" w:cstheme="minorHAnsi"/>
                <w:i/>
                <w:iCs/>
                <w:noProof/>
              </w:rPr>
              <w:t xml:space="preserve"> aluseks olevad tingimused.</w:t>
            </w:r>
            <w:r>
              <w:rPr>
                <w:rFonts w:eastAsia="Times New Roman" w:cstheme="minorHAnsi"/>
                <w:i/>
                <w:iCs/>
                <w:noProof/>
              </w:rPr>
              <w:t>“</w:t>
            </w:r>
          </w:p>
          <w:p w14:paraId="3BE14EB5" w14:textId="77777777" w:rsidR="00FC2B8F" w:rsidRPr="007E6F35" w:rsidRDefault="00FC2B8F" w:rsidP="00F11797">
            <w:pPr>
              <w:pStyle w:val="Loendilik"/>
              <w:numPr>
                <w:ilvl w:val="0"/>
                <w:numId w:val="8"/>
              </w:numPr>
              <w:spacing w:before="120" w:line="276" w:lineRule="auto"/>
              <w:ind w:left="714" w:hanging="357"/>
              <w:contextualSpacing w:val="0"/>
              <w:jc w:val="both"/>
              <w:rPr>
                <w:rFonts w:eastAsia="Times New Roman" w:cstheme="minorHAnsi"/>
                <w:i/>
                <w:iCs/>
                <w:noProof/>
              </w:rPr>
            </w:pPr>
            <w:r w:rsidRPr="007E6F35">
              <w:rPr>
                <w:rFonts w:eastAsia="Times New Roman" w:cstheme="minorHAnsi"/>
                <w:noProof/>
              </w:rPr>
              <w:t>PlanS § 95</w:t>
            </w:r>
            <w:r w:rsidRPr="007E6F35">
              <w:rPr>
                <w:rFonts w:eastAsia="Times New Roman" w:cstheme="minorHAnsi"/>
                <w:noProof/>
                <w:vertAlign w:val="superscript"/>
              </w:rPr>
              <w:t>1</w:t>
            </w:r>
            <w:r w:rsidRPr="007E6F35">
              <w:rPr>
                <w:rFonts w:eastAsia="Times New Roman" w:cstheme="minorHAnsi"/>
                <w:noProof/>
              </w:rPr>
              <w:t xml:space="preserve"> lg-t 3 järgmiselt: </w:t>
            </w:r>
            <w:r w:rsidRPr="007E6F35">
              <w:rPr>
                <w:rFonts w:eastAsia="Times New Roman" w:cstheme="minorHAnsi"/>
                <w:i/>
                <w:iCs/>
                <w:noProof/>
              </w:rPr>
              <w:t xml:space="preserve">„(3) Kohaliku omavalitsuse tuuleparki kavandava eriplaneeringu asukoha eelvaliku otsuse alusel kehtestatud kohaliku omavalitsuse eriplaneering on </w:t>
            </w:r>
            <w:r w:rsidRPr="007E6F35">
              <w:rPr>
                <w:rFonts w:eastAsia="Times New Roman" w:cstheme="minorHAnsi"/>
                <w:i/>
                <w:iCs/>
                <w:noProof/>
                <w:u w:val="single"/>
              </w:rPr>
              <w:t>ehitusprojekti koostamise</w:t>
            </w:r>
            <w:r w:rsidRPr="007E6F35">
              <w:rPr>
                <w:rFonts w:eastAsia="Times New Roman" w:cstheme="minorHAnsi"/>
                <w:i/>
                <w:iCs/>
                <w:noProof/>
              </w:rPr>
              <w:t xml:space="preserve"> alus.“</w:t>
            </w:r>
          </w:p>
          <w:p w14:paraId="4D9538D0" w14:textId="77777777" w:rsidR="00FC2B8F" w:rsidRPr="007E6F35" w:rsidRDefault="00FC2B8F" w:rsidP="00F11797">
            <w:pPr>
              <w:pStyle w:val="Loendilik"/>
              <w:numPr>
                <w:ilvl w:val="0"/>
                <w:numId w:val="8"/>
              </w:numPr>
              <w:spacing w:before="120" w:line="276" w:lineRule="auto"/>
              <w:ind w:left="714" w:hanging="357"/>
              <w:contextualSpacing w:val="0"/>
              <w:jc w:val="both"/>
              <w:rPr>
                <w:rFonts w:eastAsia="Times New Roman" w:cstheme="minorHAnsi"/>
                <w:i/>
                <w:iCs/>
                <w:noProof/>
              </w:rPr>
            </w:pPr>
            <w:r w:rsidRPr="007E6F35">
              <w:rPr>
                <w:rFonts w:eastAsia="Times New Roman" w:cstheme="minorHAnsi"/>
                <w:noProof/>
              </w:rPr>
              <w:t xml:space="preserve">PlanS § 95 lg-t 8 järgmiselt: </w:t>
            </w:r>
            <w:r w:rsidRPr="007E6F35">
              <w:rPr>
                <w:rFonts w:eastAsia="Times New Roman" w:cstheme="minorHAnsi"/>
                <w:i/>
                <w:iCs/>
                <w:noProof/>
              </w:rPr>
              <w:t>„(8)</w:t>
            </w:r>
            <w:r>
              <w:rPr>
                <w:rFonts w:eastAsia="Times New Roman" w:cstheme="minorHAnsi"/>
                <w:noProof/>
              </w:rPr>
              <w:t xml:space="preserve"> </w:t>
            </w:r>
            <w:r w:rsidRPr="007E6F35">
              <w:rPr>
                <w:rFonts w:eastAsia="Times New Roman" w:cstheme="minorHAnsi"/>
                <w:i/>
                <w:iCs/>
                <w:noProof/>
              </w:rPr>
              <w:t>Kohaliku omavalitsuse eriplaneering on ehitusprojekti koostamise alus</w:t>
            </w:r>
            <w:r w:rsidRPr="007E6F35">
              <w:rPr>
                <w:rFonts w:eastAsia="Times New Roman" w:cstheme="minorHAnsi"/>
                <w:i/>
                <w:iCs/>
                <w:noProof/>
                <w:u w:val="single"/>
              </w:rPr>
              <w:t>.</w:t>
            </w:r>
            <w:r w:rsidRPr="007E6F35">
              <w:rPr>
                <w:rFonts w:eastAsia="Times New Roman" w:cstheme="minorHAnsi"/>
                <w:i/>
                <w:iCs/>
                <w:noProof/>
              </w:rPr>
              <w:t>“</w:t>
            </w:r>
          </w:p>
          <w:p w14:paraId="70B17334" w14:textId="77777777" w:rsidR="00FC2B8F" w:rsidRDefault="00FC2B8F" w:rsidP="00F11797">
            <w:pPr>
              <w:pStyle w:val="Loendilik"/>
              <w:numPr>
                <w:ilvl w:val="0"/>
                <w:numId w:val="8"/>
              </w:numPr>
              <w:spacing w:before="120" w:line="276" w:lineRule="auto"/>
              <w:ind w:left="714" w:hanging="357"/>
              <w:contextualSpacing w:val="0"/>
              <w:jc w:val="both"/>
              <w:rPr>
                <w:rFonts w:eastAsia="Times New Roman" w:cstheme="minorHAnsi"/>
                <w:i/>
                <w:iCs/>
                <w:noProof/>
              </w:rPr>
            </w:pPr>
            <w:r w:rsidRPr="007E6F35">
              <w:rPr>
                <w:rFonts w:eastAsia="Times New Roman" w:cstheme="minorHAnsi"/>
                <w:noProof/>
              </w:rPr>
              <w:t>EhS § 26</w:t>
            </w:r>
            <w:r w:rsidRPr="007E6F35">
              <w:rPr>
                <w:rFonts w:eastAsia="Times New Roman" w:cstheme="minorHAnsi"/>
                <w:noProof/>
                <w:vertAlign w:val="superscript"/>
              </w:rPr>
              <w:t>1</w:t>
            </w:r>
            <w:r w:rsidRPr="007E6F35">
              <w:rPr>
                <w:rFonts w:eastAsia="Times New Roman" w:cstheme="minorHAnsi"/>
                <w:noProof/>
              </w:rPr>
              <w:t xml:space="preserve"> pealkirja ja lg-t 1 järgmiselt: </w:t>
            </w:r>
            <w:r w:rsidRPr="007E6F35">
              <w:rPr>
                <w:rFonts w:eastAsia="Times New Roman" w:cstheme="minorHAnsi"/>
                <w:b/>
                <w:bCs/>
                <w:i/>
                <w:iCs/>
                <w:noProof/>
              </w:rPr>
              <w:t>„§ 26</w:t>
            </w:r>
            <w:r w:rsidRPr="007E6F35">
              <w:rPr>
                <w:rFonts w:eastAsia="Times New Roman" w:cstheme="minorHAnsi"/>
                <w:b/>
                <w:bCs/>
                <w:i/>
                <w:iCs/>
                <w:noProof/>
                <w:vertAlign w:val="superscript"/>
              </w:rPr>
              <w:t>1</w:t>
            </w:r>
            <w:r w:rsidRPr="007E6F35">
              <w:rPr>
                <w:rFonts w:eastAsia="Times New Roman" w:cstheme="minorHAnsi"/>
                <w:b/>
                <w:bCs/>
                <w:i/>
                <w:iCs/>
                <w:noProof/>
              </w:rPr>
              <w:t>.  Projekteerimistingimused riigi</w:t>
            </w:r>
            <w:r w:rsidRPr="007E6F35">
              <w:rPr>
                <w:rFonts w:eastAsia="Times New Roman" w:cstheme="minorHAnsi"/>
                <w:b/>
                <w:bCs/>
                <w:i/>
                <w:iCs/>
                <w:noProof/>
                <w:u w:val="single"/>
              </w:rPr>
              <w:t xml:space="preserve"> </w:t>
            </w:r>
            <w:r w:rsidRPr="007E6F35">
              <w:rPr>
                <w:rFonts w:eastAsia="Times New Roman" w:cstheme="minorHAnsi"/>
                <w:b/>
                <w:bCs/>
                <w:i/>
                <w:iCs/>
                <w:noProof/>
              </w:rPr>
              <w:t>eriplaneeringu olemasolul</w:t>
            </w:r>
            <w:r w:rsidRPr="007E6F35">
              <w:rPr>
                <w:rFonts w:eastAsia="Times New Roman" w:cstheme="minorHAnsi"/>
                <w:i/>
                <w:iCs/>
                <w:noProof/>
              </w:rPr>
              <w:t xml:space="preserve"> (1) Projekteerimistingimused on vajalikud asukoha eelvaliku otsuse alusel kehtestatud riigi</w:t>
            </w:r>
            <w:r w:rsidRPr="007E6F35">
              <w:rPr>
                <w:rFonts w:eastAsia="Times New Roman" w:cstheme="minorHAnsi"/>
                <w:i/>
                <w:iCs/>
                <w:noProof/>
                <w:u w:val="single"/>
              </w:rPr>
              <w:t xml:space="preserve"> </w:t>
            </w:r>
            <w:r w:rsidRPr="007E6F35">
              <w:rPr>
                <w:rFonts w:eastAsia="Times New Roman" w:cstheme="minorHAnsi"/>
                <w:i/>
                <w:iCs/>
                <w:noProof/>
              </w:rPr>
              <w:t>eriplaneeringu alusel rajatavate ehitiste ehitusprojekti koostamiseks.“</w:t>
            </w:r>
          </w:p>
          <w:p w14:paraId="629D8474" w14:textId="77777777" w:rsidR="00FC2B8F" w:rsidRDefault="00FC2B8F" w:rsidP="00F11797">
            <w:pPr>
              <w:pStyle w:val="Loendilik"/>
              <w:numPr>
                <w:ilvl w:val="0"/>
                <w:numId w:val="8"/>
              </w:numPr>
              <w:spacing w:before="120" w:line="276" w:lineRule="auto"/>
              <w:ind w:left="714" w:hanging="357"/>
              <w:contextualSpacing w:val="0"/>
              <w:jc w:val="both"/>
              <w:rPr>
                <w:rFonts w:eastAsia="Times New Roman" w:cstheme="minorHAnsi"/>
                <w:i/>
                <w:iCs/>
                <w:noProof/>
              </w:rPr>
            </w:pPr>
            <w:r>
              <w:rPr>
                <w:rFonts w:eastAsia="Times New Roman" w:cstheme="minorHAnsi"/>
                <w:noProof/>
              </w:rPr>
              <w:t>PlanS-i § 75, lisades lg 1</w:t>
            </w:r>
            <w:r>
              <w:rPr>
                <w:rFonts w:eastAsia="Times New Roman" w:cstheme="minorHAnsi"/>
                <w:noProof/>
                <w:vertAlign w:val="superscript"/>
              </w:rPr>
              <w:t>1</w:t>
            </w:r>
            <w:r>
              <w:rPr>
                <w:rFonts w:eastAsia="Times New Roman" w:cstheme="minorHAnsi"/>
                <w:noProof/>
              </w:rPr>
              <w:t xml:space="preserve"> järgmises sõnastuses: </w:t>
            </w:r>
            <w:r w:rsidRPr="004D3BA5">
              <w:rPr>
                <w:rFonts w:eastAsia="Times New Roman" w:cstheme="minorHAnsi"/>
                <w:i/>
                <w:iCs/>
                <w:noProof/>
              </w:rPr>
              <w:t>„(1</w:t>
            </w:r>
            <w:r w:rsidRPr="004D3BA5">
              <w:rPr>
                <w:rFonts w:eastAsia="Times New Roman" w:cstheme="minorHAnsi"/>
                <w:i/>
                <w:iCs/>
                <w:noProof/>
                <w:vertAlign w:val="superscript"/>
              </w:rPr>
              <w:t>1</w:t>
            </w:r>
            <w:r w:rsidRPr="004D3BA5">
              <w:rPr>
                <w:rFonts w:eastAsia="Times New Roman" w:cstheme="minorHAnsi"/>
                <w:i/>
                <w:iCs/>
                <w:noProof/>
              </w:rPr>
              <w:t xml:space="preserve">) Üldplaneeringus, milles valitakse olulise ruumilise mõjuga ehitiseks oleva tuulepargi asukoht, võib sätestada, et üldplaneering on </w:t>
            </w:r>
            <w:r>
              <w:rPr>
                <w:rFonts w:eastAsia="Times New Roman" w:cstheme="minorHAnsi"/>
                <w:i/>
                <w:iCs/>
                <w:noProof/>
              </w:rPr>
              <w:t xml:space="preserve">ilma projekteerimistingimuste andmiseta tuulepargi </w:t>
            </w:r>
            <w:r w:rsidRPr="004D3BA5">
              <w:rPr>
                <w:rFonts w:eastAsia="Times New Roman" w:cstheme="minorHAnsi"/>
                <w:i/>
                <w:iCs/>
                <w:noProof/>
              </w:rPr>
              <w:t>ehitusprojekti koostamise aluseks, kui üldplaneeringus on määratud tuulepargi maakasutus- ja ehitustingimused, sealhulgas elektrituulikute maksimaalne kõrgus, arv ja põhimõtteline asukoht.“</w:t>
            </w:r>
          </w:p>
          <w:p w14:paraId="4FEF4C01" w14:textId="77777777" w:rsidR="00FC2B8F" w:rsidRPr="00224D98" w:rsidRDefault="00FC2B8F" w:rsidP="00F11797">
            <w:pPr>
              <w:pStyle w:val="Loendilik"/>
              <w:numPr>
                <w:ilvl w:val="0"/>
                <w:numId w:val="8"/>
              </w:numPr>
              <w:spacing w:before="120" w:line="276" w:lineRule="auto"/>
              <w:ind w:left="714" w:hanging="357"/>
              <w:contextualSpacing w:val="0"/>
              <w:jc w:val="both"/>
              <w:rPr>
                <w:rFonts w:eastAsia="Times New Roman" w:cstheme="minorHAnsi"/>
                <w:i/>
                <w:iCs/>
                <w:noProof/>
              </w:rPr>
            </w:pPr>
            <w:r>
              <w:rPr>
                <w:rFonts w:eastAsia="Times New Roman" w:cstheme="minorHAnsi"/>
                <w:noProof/>
              </w:rPr>
              <w:t>EhSRS §-i 30</w:t>
            </w:r>
            <w:r>
              <w:rPr>
                <w:rFonts w:eastAsia="Times New Roman" w:cstheme="minorHAnsi"/>
                <w:noProof/>
                <w:vertAlign w:val="superscript"/>
              </w:rPr>
              <w:t>6</w:t>
            </w:r>
            <w:r>
              <w:rPr>
                <w:rFonts w:eastAsia="Times New Roman" w:cstheme="minorHAnsi"/>
                <w:noProof/>
              </w:rPr>
              <w:t xml:space="preserve"> järgmiselt: </w:t>
            </w:r>
            <w:r w:rsidRPr="00224D98">
              <w:rPr>
                <w:rFonts w:eastAsia="Times New Roman" w:cstheme="minorHAnsi"/>
                <w:i/>
                <w:iCs/>
                <w:noProof/>
              </w:rPr>
              <w:t>„Planeerimisseaduse § 27</w:t>
            </w:r>
            <w:r w:rsidRPr="00224D98">
              <w:rPr>
                <w:rFonts w:eastAsia="Times New Roman" w:cstheme="minorHAnsi"/>
                <w:i/>
                <w:iCs/>
                <w:noProof/>
                <w:vertAlign w:val="superscript"/>
              </w:rPr>
              <w:t>1</w:t>
            </w:r>
            <w:r w:rsidRPr="00224D98">
              <w:rPr>
                <w:rFonts w:eastAsia="Times New Roman" w:cstheme="minorHAnsi"/>
                <w:i/>
                <w:iCs/>
                <w:noProof/>
              </w:rPr>
              <w:t>, § 95 lõiget 8</w:t>
            </w:r>
            <w:r w:rsidRPr="00224D98">
              <w:rPr>
                <w:rFonts w:eastAsia="Times New Roman" w:cstheme="minorHAnsi"/>
                <w:i/>
                <w:iCs/>
                <w:noProof/>
                <w:vertAlign w:val="superscript"/>
              </w:rPr>
              <w:t>2</w:t>
            </w:r>
            <w:r w:rsidRPr="00224D98">
              <w:rPr>
                <w:rFonts w:eastAsia="Times New Roman" w:cstheme="minorHAnsi"/>
                <w:i/>
                <w:iCs/>
                <w:noProof/>
              </w:rPr>
              <w:t xml:space="preserve"> ja § 95</w:t>
            </w:r>
            <w:r w:rsidRPr="00224D98">
              <w:rPr>
                <w:rFonts w:eastAsia="Times New Roman" w:cstheme="minorHAnsi"/>
                <w:i/>
                <w:iCs/>
                <w:noProof/>
                <w:vertAlign w:val="superscript"/>
              </w:rPr>
              <w:t>1</w:t>
            </w:r>
            <w:r w:rsidRPr="00224D98">
              <w:rPr>
                <w:rFonts w:eastAsia="Times New Roman" w:cstheme="minorHAnsi"/>
                <w:i/>
                <w:iCs/>
                <w:noProof/>
              </w:rPr>
              <w:t xml:space="preserve"> kohaldatakse ka enne nende sätete jõustumist algatatud planeeringutele, mille osas ei ole asukoha eelvaliku otsust veel tehtud. </w:t>
            </w:r>
            <w:r w:rsidRPr="00224D98">
              <w:rPr>
                <w:rFonts w:eastAsia="Times New Roman" w:cstheme="minorHAnsi"/>
                <w:i/>
                <w:iCs/>
                <w:noProof/>
                <w:u w:val="single"/>
              </w:rPr>
              <w:t xml:space="preserve">Enne käesoleva lause jõustumist algatatud </w:t>
            </w:r>
            <w:r>
              <w:rPr>
                <w:rFonts w:eastAsia="Times New Roman" w:cstheme="minorHAnsi"/>
                <w:i/>
                <w:iCs/>
                <w:noProof/>
                <w:u w:val="single"/>
              </w:rPr>
              <w:t xml:space="preserve">üldplaneeringute ja </w:t>
            </w:r>
            <w:r w:rsidRPr="00224D98">
              <w:rPr>
                <w:rFonts w:eastAsia="Times New Roman" w:cstheme="minorHAnsi"/>
                <w:i/>
                <w:iCs/>
                <w:noProof/>
                <w:u w:val="single"/>
              </w:rPr>
              <w:t xml:space="preserve">kohaliku omavalitsuse eriplaneeringute menetlusele kohaldatakse planeerimisseaduse </w:t>
            </w:r>
            <w:r>
              <w:rPr>
                <w:rFonts w:eastAsia="Times New Roman" w:cstheme="minorHAnsi"/>
                <w:i/>
                <w:iCs/>
                <w:noProof/>
                <w:u w:val="single"/>
              </w:rPr>
              <w:t>§ 75 lg 1</w:t>
            </w:r>
            <w:r>
              <w:rPr>
                <w:rFonts w:eastAsia="Times New Roman" w:cstheme="minorHAnsi"/>
                <w:i/>
                <w:iCs/>
                <w:noProof/>
                <w:u w:val="single"/>
                <w:vertAlign w:val="superscript"/>
              </w:rPr>
              <w:t>1</w:t>
            </w:r>
            <w:r>
              <w:rPr>
                <w:rFonts w:eastAsia="Times New Roman" w:cstheme="minorHAnsi"/>
                <w:i/>
                <w:iCs/>
                <w:noProof/>
                <w:u w:val="single"/>
              </w:rPr>
              <w:t xml:space="preserve"> ja </w:t>
            </w:r>
            <w:r w:rsidRPr="00224D98">
              <w:rPr>
                <w:rFonts w:eastAsia="Times New Roman" w:cstheme="minorHAnsi"/>
                <w:i/>
                <w:iCs/>
                <w:noProof/>
                <w:u w:val="single"/>
              </w:rPr>
              <w:t>§ 95</w:t>
            </w:r>
            <w:r w:rsidRPr="00224D98">
              <w:rPr>
                <w:rFonts w:eastAsia="Times New Roman" w:cstheme="minorHAnsi"/>
                <w:i/>
                <w:iCs/>
                <w:noProof/>
                <w:u w:val="single"/>
                <w:vertAlign w:val="superscript"/>
              </w:rPr>
              <w:t>1</w:t>
            </w:r>
            <w:r w:rsidRPr="00224D98">
              <w:rPr>
                <w:rFonts w:eastAsia="Times New Roman" w:cstheme="minorHAnsi"/>
                <w:i/>
                <w:iCs/>
                <w:noProof/>
                <w:u w:val="single"/>
              </w:rPr>
              <w:t xml:space="preserve">  redaktsiooni, mis jõustus samal ajal käesoleva paragrahviga.</w:t>
            </w:r>
            <w:r w:rsidRPr="00224D98">
              <w:rPr>
                <w:rFonts w:eastAsia="Times New Roman" w:cstheme="minorHAnsi"/>
                <w:i/>
                <w:iCs/>
                <w:noProof/>
              </w:rPr>
              <w:t>“.</w:t>
            </w:r>
          </w:p>
          <w:p w14:paraId="71C2F8AF" w14:textId="77777777" w:rsidR="008A15AF" w:rsidRDefault="008A15AF" w:rsidP="006D6C6F">
            <w:pPr>
              <w:jc w:val="both"/>
              <w:rPr>
                <w:rFonts w:ascii="Times New Roman" w:hAnsi="Times New Roman" w:cs="Times New Roman"/>
                <w:sz w:val="24"/>
                <w:szCs w:val="24"/>
              </w:rPr>
            </w:pPr>
          </w:p>
        </w:tc>
        <w:tc>
          <w:tcPr>
            <w:tcW w:w="3282" w:type="dxa"/>
          </w:tcPr>
          <w:p w14:paraId="407DB39E" w14:textId="46692F30" w:rsidR="0010042B" w:rsidRPr="00797EDC" w:rsidRDefault="00584EFB" w:rsidP="0010042B">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Selgitame</w:t>
            </w:r>
          </w:p>
          <w:p w14:paraId="3CDD84DA" w14:textId="77777777" w:rsidR="005A3A9E" w:rsidRPr="00797EDC" w:rsidRDefault="005A3A9E" w:rsidP="0010042B">
            <w:pPr>
              <w:pStyle w:val="Loendilik"/>
              <w:ind w:left="-23"/>
              <w:jc w:val="both"/>
              <w:rPr>
                <w:rFonts w:ascii="Times New Roman" w:eastAsia="Calibri" w:hAnsi="Times New Roman" w:cs="Times New Roman"/>
                <w:b/>
                <w:bCs/>
                <w:sz w:val="24"/>
                <w:szCs w:val="24"/>
              </w:rPr>
            </w:pPr>
          </w:p>
          <w:p w14:paraId="4BCA1766" w14:textId="35D9F88B" w:rsidR="000753DA" w:rsidRPr="00797EDC" w:rsidRDefault="00584EFB" w:rsidP="007A1F62">
            <w:pPr>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lastRenderedPageBreak/>
              <w:t xml:space="preserve">Antud teema ei </w:t>
            </w:r>
            <w:r w:rsidR="008A38C0" w:rsidRPr="00797EDC">
              <w:rPr>
                <w:rFonts w:ascii="Times New Roman" w:eastAsia="Calibri" w:hAnsi="Times New Roman" w:cs="Times New Roman"/>
                <w:sz w:val="24"/>
                <w:szCs w:val="24"/>
              </w:rPr>
              <w:t>kuulu</w:t>
            </w:r>
            <w:r w:rsidR="00902607" w:rsidRPr="00797EDC">
              <w:rPr>
                <w:rFonts w:ascii="Times New Roman" w:eastAsia="Calibri" w:hAnsi="Times New Roman" w:cs="Times New Roman"/>
                <w:sz w:val="24"/>
                <w:szCs w:val="24"/>
              </w:rPr>
              <w:t xml:space="preserve"> käesoleva seaduse muudatuse eelnõusse</w:t>
            </w:r>
            <w:r w:rsidR="009138E5" w:rsidRPr="00797EDC">
              <w:rPr>
                <w:rFonts w:ascii="Times New Roman" w:eastAsia="Calibri" w:hAnsi="Times New Roman" w:cs="Times New Roman"/>
                <w:sz w:val="24"/>
                <w:szCs w:val="24"/>
              </w:rPr>
              <w:t xml:space="preserve">. Tegemist on eraldiseisva töövooga, millega </w:t>
            </w:r>
            <w:r w:rsidR="009625D0" w:rsidRPr="00797EDC">
              <w:rPr>
                <w:rFonts w:ascii="Times New Roman" w:eastAsia="Calibri" w:hAnsi="Times New Roman" w:cs="Times New Roman"/>
                <w:sz w:val="24"/>
                <w:szCs w:val="24"/>
              </w:rPr>
              <w:t xml:space="preserve">tegeletakse </w:t>
            </w:r>
            <w:r w:rsidR="00570088">
              <w:rPr>
                <w:rFonts w:ascii="Times New Roman" w:eastAsia="Calibri" w:hAnsi="Times New Roman" w:cs="Times New Roman"/>
                <w:sz w:val="24"/>
                <w:szCs w:val="24"/>
              </w:rPr>
              <w:t>eraldiseisvalt</w:t>
            </w:r>
            <w:r w:rsidR="00A8384B" w:rsidRPr="00797EDC">
              <w:rPr>
                <w:rFonts w:ascii="Times New Roman" w:eastAsia="Calibri" w:hAnsi="Times New Roman" w:cs="Times New Roman"/>
                <w:sz w:val="24"/>
                <w:szCs w:val="24"/>
              </w:rPr>
              <w:t>.</w:t>
            </w:r>
          </w:p>
          <w:p w14:paraId="5FCB3BAC" w14:textId="22F072CE" w:rsidR="008A15AF" w:rsidRPr="00797EDC" w:rsidRDefault="008A15AF" w:rsidP="1FD60553">
            <w:pPr>
              <w:pStyle w:val="Loendilik"/>
              <w:ind w:left="-23"/>
              <w:jc w:val="both"/>
              <w:rPr>
                <w:rFonts w:ascii="Times New Roman" w:eastAsia="Calibri" w:hAnsi="Times New Roman" w:cs="Times New Roman"/>
                <w:b/>
                <w:bCs/>
                <w:sz w:val="24"/>
                <w:szCs w:val="24"/>
              </w:rPr>
            </w:pPr>
          </w:p>
        </w:tc>
      </w:tr>
      <w:tr w:rsidR="00531BA7" w:rsidRPr="005C0F32" w14:paraId="6A3BA59F" w14:textId="77777777" w:rsidTr="3199B330">
        <w:trPr>
          <w:trHeight w:val="300"/>
        </w:trPr>
        <w:tc>
          <w:tcPr>
            <w:tcW w:w="10710" w:type="dxa"/>
          </w:tcPr>
          <w:p w14:paraId="76F01459" w14:textId="0F3FD0B5" w:rsidR="00531BA7" w:rsidRPr="006018B1" w:rsidRDefault="00531BA7" w:rsidP="00FC2B8F">
            <w:pPr>
              <w:spacing w:before="120" w:line="276" w:lineRule="auto"/>
              <w:jc w:val="both"/>
              <w:rPr>
                <w:rFonts w:eastAsia="Times New Roman" w:cstheme="minorHAnsi"/>
                <w:b/>
                <w:bCs/>
                <w:noProof/>
              </w:rPr>
            </w:pPr>
            <w:r w:rsidRPr="00ED2F66">
              <w:rPr>
                <w:rFonts w:eastAsia="Times New Roman" w:cstheme="minorHAnsi"/>
                <w:b/>
                <w:bCs/>
                <w:noProof/>
                <w:highlight w:val="cyan"/>
              </w:rPr>
              <w:lastRenderedPageBreak/>
              <w:t>Eesti Tööandjate Keskliit</w:t>
            </w:r>
          </w:p>
        </w:tc>
        <w:tc>
          <w:tcPr>
            <w:tcW w:w="3282" w:type="dxa"/>
          </w:tcPr>
          <w:p w14:paraId="73499DE7" w14:textId="77777777" w:rsidR="00531BA7" w:rsidRPr="00797EDC" w:rsidRDefault="00531BA7" w:rsidP="1FD60553">
            <w:pPr>
              <w:pStyle w:val="Loendilik"/>
              <w:ind w:left="-23"/>
              <w:jc w:val="both"/>
              <w:rPr>
                <w:rFonts w:ascii="Times New Roman" w:eastAsia="Calibri" w:hAnsi="Times New Roman" w:cs="Times New Roman"/>
                <w:b/>
                <w:bCs/>
                <w:sz w:val="24"/>
                <w:szCs w:val="24"/>
              </w:rPr>
            </w:pPr>
          </w:p>
        </w:tc>
      </w:tr>
      <w:tr w:rsidR="00531BA7" w:rsidRPr="005C0F32" w14:paraId="4ADC0B5B" w14:textId="77777777" w:rsidTr="3199B330">
        <w:trPr>
          <w:trHeight w:val="300"/>
        </w:trPr>
        <w:tc>
          <w:tcPr>
            <w:tcW w:w="10710" w:type="dxa"/>
          </w:tcPr>
          <w:p w14:paraId="53B2FDA9" w14:textId="77777777" w:rsidR="00AE07B3" w:rsidRPr="00433285" w:rsidRDefault="00AE07B3" w:rsidP="00AE07B3">
            <w:pPr>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color w:val="000000"/>
                <w:sz w:val="24"/>
                <w:szCs w:val="24"/>
                <w:lang w:eastAsia="en-GB"/>
              </w:rPr>
              <w:t>Tööandjate</w:t>
            </w:r>
            <w:r>
              <w:rPr>
                <w:rFonts w:ascii="Times New Roman" w:eastAsia="Times New Roman" w:hAnsi="Times New Roman" w:cs="Times New Roman"/>
                <w:color w:val="000000"/>
                <w:sz w:val="24"/>
                <w:szCs w:val="24"/>
                <w:lang w:eastAsia="en-GB"/>
              </w:rPr>
              <w:t>na tervitame taastuvenergia arengut ja Valitsuse pingutust pakkuda investoritele atraktiivset keskkonda. Samas peame investeerimiskeskkonda ja konkurentsivõimet vaatama laiemalt. Seetõttu peame ennekõike oluliseks, et Eestis</w:t>
            </w:r>
            <w:r w:rsidRPr="00433285">
              <w:rPr>
                <w:rFonts w:ascii="Times New Roman" w:eastAsia="Times New Roman" w:hAnsi="Times New Roman" w:cs="Times New Roman"/>
                <w:color w:val="000000"/>
                <w:sz w:val="24"/>
                <w:szCs w:val="24"/>
                <w:lang w:eastAsia="en-GB"/>
              </w:rPr>
              <w:t xml:space="preserve"> on energiakandjate stabiilne ja konkurentsivõimelise hinnaga </w:t>
            </w:r>
            <w:r>
              <w:rPr>
                <w:rFonts w:ascii="Times New Roman" w:eastAsia="Times New Roman" w:hAnsi="Times New Roman" w:cs="Times New Roman"/>
                <w:color w:val="000000"/>
                <w:sz w:val="24"/>
                <w:szCs w:val="24"/>
                <w:lang w:eastAsia="en-GB"/>
              </w:rPr>
              <w:t>kättesaadavus</w:t>
            </w:r>
            <w:r w:rsidRPr="00433285">
              <w:rPr>
                <w:rFonts w:ascii="Times New Roman" w:eastAsia="Times New Roman" w:hAnsi="Times New Roman" w:cs="Times New Roman"/>
                <w:color w:val="000000"/>
                <w:sz w:val="24"/>
                <w:szCs w:val="24"/>
                <w:lang w:eastAsia="en-GB"/>
              </w:rPr>
              <w:t>, investeerimiskindlus</w:t>
            </w:r>
            <w:r>
              <w:rPr>
                <w:rFonts w:ascii="Times New Roman" w:eastAsia="Times New Roman" w:hAnsi="Times New Roman" w:cs="Times New Roman"/>
                <w:color w:val="000000"/>
                <w:sz w:val="24"/>
                <w:szCs w:val="24"/>
                <w:lang w:eastAsia="en-GB"/>
              </w:rPr>
              <w:t>,</w:t>
            </w:r>
            <w:r w:rsidRPr="00433285">
              <w:rPr>
                <w:rFonts w:ascii="Times New Roman" w:eastAsia="Times New Roman" w:hAnsi="Times New Roman" w:cs="Times New Roman"/>
                <w:color w:val="000000"/>
                <w:sz w:val="24"/>
                <w:szCs w:val="24"/>
                <w:lang w:eastAsia="en-GB"/>
              </w:rPr>
              <w:t xml:space="preserve"> võrdsed konkurentsitingimused ja läbipaist</w:t>
            </w:r>
            <w:r>
              <w:rPr>
                <w:rFonts w:ascii="Times New Roman" w:eastAsia="Times New Roman" w:hAnsi="Times New Roman" w:cs="Times New Roman"/>
                <w:color w:val="000000"/>
                <w:sz w:val="24"/>
                <w:szCs w:val="24"/>
                <w:lang w:eastAsia="en-GB"/>
              </w:rPr>
              <w:t>ev turg</w:t>
            </w:r>
            <w:r w:rsidRPr="00433285">
              <w:rPr>
                <w:rFonts w:ascii="Times New Roman" w:eastAsia="Times New Roman" w:hAnsi="Times New Roman" w:cs="Times New Roman"/>
                <w:color w:val="000000"/>
                <w:sz w:val="24"/>
                <w:szCs w:val="24"/>
                <w:lang w:eastAsia="en-GB"/>
              </w:rPr>
              <w:t>.</w:t>
            </w:r>
          </w:p>
          <w:p w14:paraId="14BA103E" w14:textId="77777777" w:rsidR="00AE07B3" w:rsidRDefault="00AE07B3" w:rsidP="00AE07B3">
            <w:pPr>
              <w:jc w:val="both"/>
              <w:rPr>
                <w:rFonts w:ascii="Times New Roman" w:eastAsia="Times New Roman" w:hAnsi="Times New Roman" w:cs="Times New Roman"/>
                <w:b/>
                <w:bCs/>
                <w:color w:val="000000"/>
                <w:sz w:val="24"/>
                <w:szCs w:val="24"/>
                <w:lang w:eastAsia="en-GB"/>
              </w:rPr>
            </w:pPr>
          </w:p>
          <w:p w14:paraId="410DD7D1" w14:textId="77777777" w:rsidR="00AE07B3" w:rsidRDefault="00AE07B3" w:rsidP="00AE07B3">
            <w:pPr>
              <w:jc w:val="both"/>
              <w:rPr>
                <w:rFonts w:ascii="Times New Roman" w:eastAsia="Times New Roman" w:hAnsi="Times New Roman" w:cs="Times New Roman"/>
                <w:b/>
                <w:bCs/>
                <w:color w:val="000000"/>
                <w:sz w:val="24"/>
                <w:szCs w:val="24"/>
                <w:lang w:eastAsia="en-GB"/>
              </w:rPr>
            </w:pPr>
            <w:proofErr w:type="spellStart"/>
            <w:r>
              <w:rPr>
                <w:rFonts w:ascii="Times New Roman" w:eastAsia="Times New Roman" w:hAnsi="Times New Roman" w:cs="Times New Roman"/>
                <w:b/>
                <w:bCs/>
                <w:color w:val="000000"/>
                <w:sz w:val="24"/>
                <w:szCs w:val="24"/>
                <w:lang w:eastAsia="en-GB"/>
              </w:rPr>
              <w:t>ELTSi</w:t>
            </w:r>
            <w:proofErr w:type="spellEnd"/>
            <w:r>
              <w:rPr>
                <w:rFonts w:ascii="Times New Roman" w:eastAsia="Times New Roman" w:hAnsi="Times New Roman" w:cs="Times New Roman"/>
                <w:b/>
                <w:bCs/>
                <w:color w:val="000000"/>
                <w:sz w:val="24"/>
                <w:szCs w:val="24"/>
                <w:lang w:eastAsia="en-GB"/>
              </w:rPr>
              <w:t xml:space="preserve"> eelnõus on meile sellega seonduvalt kaks probleemi:</w:t>
            </w:r>
          </w:p>
          <w:p w14:paraId="4B1D36BB" w14:textId="77777777" w:rsidR="00AE07B3" w:rsidRDefault="00AE07B3" w:rsidP="00AE07B3">
            <w:pPr>
              <w:pStyle w:val="Loendilik"/>
              <w:jc w:val="both"/>
              <w:rPr>
                <w:rFonts w:ascii="Times New Roman" w:eastAsia="Times New Roman" w:hAnsi="Times New Roman" w:cs="Times New Roman"/>
                <w:b/>
                <w:bCs/>
                <w:color w:val="000000"/>
                <w:sz w:val="24"/>
                <w:szCs w:val="24"/>
                <w:lang w:eastAsia="en-GB"/>
              </w:rPr>
            </w:pPr>
          </w:p>
          <w:p w14:paraId="3AC97A8D" w14:textId="77777777" w:rsidR="00AE07B3" w:rsidRDefault="00AE07B3" w:rsidP="00F11797">
            <w:pPr>
              <w:pStyle w:val="Loendilik"/>
              <w:numPr>
                <w:ilvl w:val="0"/>
                <w:numId w:val="10"/>
              </w:numPr>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lastRenderedPageBreak/>
              <w:t xml:space="preserve">Uue toetusskeemi mõju elektrihinnale. </w:t>
            </w:r>
          </w:p>
          <w:p w14:paraId="5E6F4C29" w14:textId="77777777" w:rsidR="00AE07B3" w:rsidRPr="000D2435" w:rsidRDefault="00AE07B3" w:rsidP="00AE07B3">
            <w:pPr>
              <w:jc w:val="both"/>
              <w:rPr>
                <w:rFonts w:ascii="Times New Roman" w:eastAsia="Times New Roman" w:hAnsi="Times New Roman" w:cs="Times New Roman"/>
                <w:b/>
                <w:bCs/>
                <w:color w:val="000000"/>
                <w:sz w:val="24"/>
                <w:szCs w:val="24"/>
                <w:lang w:eastAsia="en-GB"/>
              </w:rPr>
            </w:pPr>
          </w:p>
          <w:p w14:paraId="6EC9B209" w14:textId="77777777" w:rsidR="00AE07B3" w:rsidRDefault="00AE07B3" w:rsidP="00AE07B3">
            <w:pPr>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Uus toetusskeem on 2030.a planeeritud 38% suuremas mahus kui 2023 ja sealt edasi kahekordistub aastaks 2034 (4+2 </w:t>
            </w:r>
            <w:proofErr w:type="spellStart"/>
            <w:r>
              <w:rPr>
                <w:rFonts w:ascii="Times New Roman" w:eastAsia="Times New Roman" w:hAnsi="Times New Roman" w:cs="Times New Roman"/>
                <w:color w:val="000000"/>
                <w:sz w:val="24"/>
                <w:szCs w:val="24"/>
                <w:lang w:eastAsia="en-GB"/>
              </w:rPr>
              <w:t>TWh</w:t>
            </w:r>
            <w:proofErr w:type="spellEnd"/>
            <w:r>
              <w:rPr>
                <w:rFonts w:ascii="Times New Roman" w:eastAsia="Times New Roman" w:hAnsi="Times New Roman" w:cs="Times New Roman"/>
                <w:color w:val="000000"/>
                <w:sz w:val="24"/>
                <w:szCs w:val="24"/>
                <w:lang w:eastAsia="en-GB"/>
              </w:rPr>
              <w:t xml:space="preserve"> skeemi järgi). Selle maksaks kinni tarbija läbi taastuvenergiatasu või muude maksude. Eelnõu seletuskirjas on eeldatud, et aastaks 2030 lisandub piisavalt tarbimist, et suurem toetusmaht jaguneb suurema hulga tarbitud ühikute vahel ja seetõttu on ühiku lõpphind tarbijale odavam kui 2023.a keskmine 17,9 senti/kWh. Seejuures pole selge, kuivõrd on stsenaariumides arvestatud salvestusvõimsuste panusega nii kulu- kui tulupoolel. </w:t>
            </w:r>
          </w:p>
          <w:p w14:paraId="4ABFE7C0" w14:textId="77777777" w:rsidR="00AE07B3" w:rsidRDefault="00AE07B3" w:rsidP="00AE07B3">
            <w:pPr>
              <w:jc w:val="both"/>
              <w:rPr>
                <w:rFonts w:ascii="Times New Roman" w:eastAsia="Times New Roman" w:hAnsi="Times New Roman" w:cs="Times New Roman"/>
                <w:color w:val="000000"/>
                <w:sz w:val="24"/>
                <w:szCs w:val="24"/>
                <w:lang w:eastAsia="en-GB"/>
              </w:rPr>
            </w:pPr>
          </w:p>
          <w:p w14:paraId="3F2A7A8E" w14:textId="77777777" w:rsidR="00AE07B3" w:rsidRDefault="00AE07B3" w:rsidP="00AE07B3">
            <w:pPr>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Praegu sisaldub taastuvenergia tasu alla 1,3 sendi/kWh hoidmise eesmärk vaid seletuskirjas, kuid meie hinnangul on taastuvenergiatoetuse kujunemise arvutustes on veel küsitavusi:</w:t>
            </w:r>
          </w:p>
          <w:p w14:paraId="5BAC7034" w14:textId="77777777" w:rsidR="00AE07B3" w:rsidRDefault="00AE07B3" w:rsidP="00AE07B3">
            <w:pPr>
              <w:jc w:val="both"/>
              <w:rPr>
                <w:rFonts w:ascii="Times New Roman" w:eastAsia="Times New Roman" w:hAnsi="Times New Roman" w:cs="Times New Roman"/>
                <w:sz w:val="24"/>
                <w:szCs w:val="24"/>
                <w:lang w:eastAsia="en-GB"/>
              </w:rPr>
            </w:pPr>
          </w:p>
          <w:p w14:paraId="015953D6" w14:textId="77777777" w:rsidR="00AE07B3" w:rsidRDefault="00AE07B3" w:rsidP="00AE07B3">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Esiteks juhime tähelepanu, et valitud võrdlusbaas on küll veidi madalam kui Lõunapoolsetel naabritel, kuid 2/3 kõrgem hinnatase kui Soomes ja Rootsis. Seega pole valitud sihttase ise konkurentsivõimeline, mis tähendab, et siin juba tegutsevate ettevõtete hinnapõhine konkurentsivõime väheneb ja uute investeeringute jaoks ei pruugi olla piisavalt atraktiivne Rootsi ja Soomega võrreldes. Kui elektri hinnatase pole välisinvestori jaoks atraktiivne, ei pruugi Eestisse ka eelnõu koostajate prognoositud mahus tarbimist lisanduda, mis tähendaks, et taastuvenergiatasu kujuneb tarbija jaoks oluliselt kõrgemaks. </w:t>
            </w:r>
          </w:p>
          <w:p w14:paraId="5AF1DD28" w14:textId="77777777" w:rsidR="00AE07B3" w:rsidRDefault="00AE07B3" w:rsidP="00AE07B3">
            <w:pPr>
              <w:jc w:val="both"/>
              <w:rPr>
                <w:rFonts w:ascii="Times New Roman" w:eastAsia="Times New Roman" w:hAnsi="Times New Roman" w:cs="Times New Roman"/>
                <w:color w:val="000000"/>
                <w:sz w:val="24"/>
                <w:szCs w:val="24"/>
                <w:lang w:eastAsia="en-GB"/>
              </w:rPr>
            </w:pPr>
          </w:p>
          <w:p w14:paraId="0BBE2C04" w14:textId="77777777" w:rsidR="00AE07B3" w:rsidRDefault="00AE07B3" w:rsidP="00AE07B3">
            <w:pPr>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Teiseks - </w:t>
            </w:r>
            <w:r w:rsidRPr="00EE1CA7">
              <w:rPr>
                <w:rFonts w:ascii="Times New Roman" w:eastAsia="Times New Roman" w:hAnsi="Times New Roman" w:cs="Times New Roman"/>
                <w:sz w:val="24"/>
                <w:szCs w:val="24"/>
                <w:lang w:eastAsia="en-GB"/>
              </w:rPr>
              <w:t>Kliimaministeeriumi energeetikaosakonna 26.04.2024 memos ja seaduseelnõu seletuskirjas toodud elektrihinna mudelites ei ole arvestatud meie naaberriikides olemasolevate ja hetkel ehitatavate tootmisvõimsuste lisandumisega. Lisaks Eestis olevatele tootmisvõimsustele mõjutavad meie elektri hinda ka  läbi välisühenduste eksporditav või imporditav elektrienergia. Täna on Baltikumis ehituses ca 1000</w:t>
            </w:r>
            <w:r>
              <w:rPr>
                <w:rFonts w:ascii="Times New Roman" w:eastAsia="Times New Roman" w:hAnsi="Times New Roman" w:cs="Times New Roman"/>
                <w:sz w:val="24"/>
                <w:szCs w:val="24"/>
                <w:lang w:eastAsia="en-GB"/>
              </w:rPr>
              <w:t xml:space="preserve"> </w:t>
            </w:r>
            <w:r w:rsidRPr="00EE1CA7">
              <w:rPr>
                <w:rFonts w:ascii="Times New Roman" w:eastAsia="Times New Roman" w:hAnsi="Times New Roman" w:cs="Times New Roman"/>
                <w:sz w:val="24"/>
                <w:szCs w:val="24"/>
                <w:lang w:eastAsia="en-GB"/>
              </w:rPr>
              <w:t xml:space="preserve">MW tuuleparke, mis jõuavad turule 2025-2026 aastal. Leedu korraldab 2025 aastal </w:t>
            </w:r>
            <w:proofErr w:type="spellStart"/>
            <w:r w:rsidRPr="00EE1CA7">
              <w:rPr>
                <w:rFonts w:ascii="Times New Roman" w:eastAsia="Times New Roman" w:hAnsi="Times New Roman" w:cs="Times New Roman"/>
                <w:sz w:val="24"/>
                <w:szCs w:val="24"/>
                <w:lang w:eastAsia="en-GB"/>
              </w:rPr>
              <w:t>CfD</w:t>
            </w:r>
            <w:proofErr w:type="spellEnd"/>
            <w:r w:rsidRPr="00EE1CA7">
              <w:rPr>
                <w:rFonts w:ascii="Times New Roman" w:eastAsia="Times New Roman" w:hAnsi="Times New Roman" w:cs="Times New Roman"/>
                <w:sz w:val="24"/>
                <w:szCs w:val="24"/>
                <w:lang w:eastAsia="en-GB"/>
              </w:rPr>
              <w:t xml:space="preserve"> vähempakkumise 700</w:t>
            </w:r>
            <w:r>
              <w:rPr>
                <w:rFonts w:ascii="Times New Roman" w:eastAsia="Times New Roman" w:hAnsi="Times New Roman" w:cs="Times New Roman"/>
                <w:sz w:val="24"/>
                <w:szCs w:val="24"/>
                <w:lang w:eastAsia="en-GB"/>
              </w:rPr>
              <w:t xml:space="preserve"> </w:t>
            </w:r>
            <w:r w:rsidRPr="00EE1CA7">
              <w:rPr>
                <w:rFonts w:ascii="Times New Roman" w:eastAsia="Times New Roman" w:hAnsi="Times New Roman" w:cs="Times New Roman"/>
                <w:sz w:val="24"/>
                <w:szCs w:val="24"/>
                <w:lang w:eastAsia="en-GB"/>
              </w:rPr>
              <w:t xml:space="preserve">MW meretuulepargi rajamiseks 2030 aastaks. Tuuleenergiasse tehtud suuremahuliste investeeringute tulemuseks on elektrienergia </w:t>
            </w:r>
            <w:proofErr w:type="spellStart"/>
            <w:r w:rsidRPr="00EE1CA7">
              <w:rPr>
                <w:rFonts w:ascii="Times New Roman" w:eastAsia="Times New Roman" w:hAnsi="Times New Roman" w:cs="Times New Roman"/>
                <w:sz w:val="24"/>
                <w:szCs w:val="24"/>
                <w:lang w:eastAsia="en-GB"/>
              </w:rPr>
              <w:t>ülepakkumine</w:t>
            </w:r>
            <w:proofErr w:type="spellEnd"/>
            <w:r w:rsidRPr="00EE1CA7">
              <w:rPr>
                <w:rFonts w:ascii="Times New Roman" w:eastAsia="Times New Roman" w:hAnsi="Times New Roman" w:cs="Times New Roman"/>
                <w:sz w:val="24"/>
                <w:szCs w:val="24"/>
                <w:lang w:eastAsia="en-GB"/>
              </w:rPr>
              <w:t xml:space="preserve"> ja sellest tulenevad madalad hinnad tuulistel tundidel, mille tulemusena on tuuleparkide teenitav elektrihind tunduvalt alla aasta keskmist. Arvestades, et Eesti tiputarbimine on ca 1600</w:t>
            </w:r>
            <w:r>
              <w:rPr>
                <w:rFonts w:ascii="Times New Roman" w:eastAsia="Times New Roman" w:hAnsi="Times New Roman" w:cs="Times New Roman"/>
                <w:sz w:val="24"/>
                <w:szCs w:val="24"/>
                <w:lang w:eastAsia="en-GB"/>
              </w:rPr>
              <w:t xml:space="preserve"> </w:t>
            </w:r>
            <w:r w:rsidRPr="00EE1CA7">
              <w:rPr>
                <w:rFonts w:ascii="Times New Roman" w:eastAsia="Times New Roman" w:hAnsi="Times New Roman" w:cs="Times New Roman"/>
                <w:sz w:val="24"/>
                <w:szCs w:val="24"/>
                <w:lang w:eastAsia="en-GB"/>
              </w:rPr>
              <w:t>MW ja olemasolevate,  ehitatavate  ja käesoleva seaduseelnõuga kavandatavate tuuleparkide võimsus on üle 2500</w:t>
            </w:r>
            <w:r>
              <w:rPr>
                <w:rFonts w:ascii="Times New Roman" w:eastAsia="Times New Roman" w:hAnsi="Times New Roman" w:cs="Times New Roman"/>
                <w:sz w:val="24"/>
                <w:szCs w:val="24"/>
                <w:lang w:eastAsia="en-GB"/>
              </w:rPr>
              <w:t xml:space="preserve"> </w:t>
            </w:r>
            <w:r w:rsidRPr="00EE1CA7">
              <w:rPr>
                <w:rFonts w:ascii="Times New Roman" w:eastAsia="Times New Roman" w:hAnsi="Times New Roman" w:cs="Times New Roman"/>
                <w:sz w:val="24"/>
                <w:szCs w:val="24"/>
                <w:lang w:eastAsia="en-GB"/>
              </w:rPr>
              <w:t xml:space="preserve">MW, on selge, et suur osa toodetvast tuuleenergiast ei mahu Eesti turule.  Hetkel memos toodud taastuvenergia tasu prognoos on madal, sest ei arvestata tuuleenergia </w:t>
            </w:r>
            <w:proofErr w:type="spellStart"/>
            <w:r w:rsidRPr="00EE1CA7">
              <w:rPr>
                <w:rFonts w:ascii="Times New Roman" w:eastAsia="Times New Roman" w:hAnsi="Times New Roman" w:cs="Times New Roman"/>
                <w:sz w:val="24"/>
                <w:szCs w:val="24"/>
                <w:lang w:eastAsia="en-GB"/>
              </w:rPr>
              <w:t>ülepakkumisest</w:t>
            </w:r>
            <w:proofErr w:type="spellEnd"/>
            <w:r w:rsidRPr="00EE1CA7">
              <w:rPr>
                <w:rFonts w:ascii="Times New Roman" w:eastAsia="Times New Roman" w:hAnsi="Times New Roman" w:cs="Times New Roman"/>
                <w:sz w:val="24"/>
                <w:szCs w:val="24"/>
                <w:lang w:eastAsia="en-GB"/>
              </w:rPr>
              <w:t xml:space="preserve"> tulenevat mõju tuuleparkide töö ajal kujunevale keskmisest madalamale elektri börsihinnale ja sellest tulenevale suuremale taastuvenergia toetuse vajadusele.</w:t>
            </w:r>
          </w:p>
          <w:p w14:paraId="19AB4449" w14:textId="77777777" w:rsidR="00AE07B3" w:rsidRDefault="00AE07B3" w:rsidP="00AE07B3">
            <w:pPr>
              <w:jc w:val="both"/>
              <w:rPr>
                <w:rFonts w:ascii="Times New Roman" w:eastAsia="Times New Roman" w:hAnsi="Times New Roman" w:cs="Times New Roman"/>
                <w:sz w:val="24"/>
                <w:szCs w:val="24"/>
                <w:lang w:eastAsia="en-GB"/>
              </w:rPr>
            </w:pPr>
          </w:p>
          <w:p w14:paraId="5A676C26" w14:textId="77777777" w:rsidR="00AE07B3" w:rsidRPr="002109D5" w:rsidRDefault="00AE07B3" w:rsidP="00AE07B3">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Kolmandaks - a</w:t>
            </w:r>
            <w:r w:rsidRPr="002109D5">
              <w:rPr>
                <w:rFonts w:ascii="Times New Roman" w:eastAsia="Times New Roman" w:hAnsi="Times New Roman" w:cs="Times New Roman"/>
                <w:sz w:val="24"/>
                <w:szCs w:val="24"/>
                <w:lang w:eastAsia="en-GB"/>
              </w:rPr>
              <w:t xml:space="preserve">rvestades olemasolevate, tänaseks ehituses olevate ja toetusmeetmetega planeeritavatest tuuleparkidest tulenevat tuulise ilmaga elektrienergia tootmise </w:t>
            </w:r>
            <w:proofErr w:type="spellStart"/>
            <w:r w:rsidRPr="002109D5">
              <w:rPr>
                <w:rFonts w:ascii="Times New Roman" w:eastAsia="Times New Roman" w:hAnsi="Times New Roman" w:cs="Times New Roman"/>
                <w:sz w:val="24"/>
                <w:szCs w:val="24"/>
                <w:lang w:eastAsia="en-GB"/>
              </w:rPr>
              <w:t>ülepakkumist</w:t>
            </w:r>
            <w:proofErr w:type="spellEnd"/>
            <w:r w:rsidRPr="002109D5">
              <w:rPr>
                <w:rFonts w:ascii="Times New Roman" w:eastAsia="Times New Roman" w:hAnsi="Times New Roman" w:cs="Times New Roman"/>
                <w:sz w:val="24"/>
                <w:szCs w:val="24"/>
                <w:lang w:eastAsia="en-GB"/>
              </w:rPr>
              <w:t xml:space="preserve">, tuleb taastuvenergia tasude prognoosimisel arvestada ka toetuse maksimaalse kasutamise vajadusega. Võttes maismaa tuuleparkide </w:t>
            </w:r>
            <w:r w:rsidRPr="002109D5">
              <w:rPr>
                <w:rFonts w:ascii="Times New Roman" w:eastAsia="Times New Roman" w:hAnsi="Times New Roman" w:cs="Times New Roman"/>
                <w:sz w:val="24"/>
                <w:szCs w:val="24"/>
                <w:lang w:eastAsia="en-GB"/>
              </w:rPr>
              <w:lastRenderedPageBreak/>
              <w:t xml:space="preserve">toodanguks 4 </w:t>
            </w:r>
            <w:proofErr w:type="spellStart"/>
            <w:r w:rsidRPr="002109D5">
              <w:rPr>
                <w:rFonts w:ascii="Times New Roman" w:eastAsia="Times New Roman" w:hAnsi="Times New Roman" w:cs="Times New Roman"/>
                <w:sz w:val="24"/>
                <w:szCs w:val="24"/>
                <w:lang w:eastAsia="en-GB"/>
              </w:rPr>
              <w:t>TWh</w:t>
            </w:r>
            <w:proofErr w:type="spellEnd"/>
            <w:r w:rsidRPr="002109D5">
              <w:rPr>
                <w:rFonts w:ascii="Times New Roman" w:eastAsia="Times New Roman" w:hAnsi="Times New Roman" w:cs="Times New Roman"/>
                <w:sz w:val="24"/>
                <w:szCs w:val="24"/>
                <w:lang w:eastAsia="en-GB"/>
              </w:rPr>
              <w:t xml:space="preserve">/a ja maksimaalseks toetusmääraks 20 </w:t>
            </w:r>
            <w:proofErr w:type="spellStart"/>
            <w:r w:rsidRPr="002109D5">
              <w:rPr>
                <w:rFonts w:ascii="Times New Roman" w:eastAsia="Times New Roman" w:hAnsi="Times New Roman" w:cs="Times New Roman"/>
                <w:sz w:val="24"/>
                <w:szCs w:val="24"/>
                <w:lang w:eastAsia="en-GB"/>
              </w:rPr>
              <w:t>eur</w:t>
            </w:r>
            <w:proofErr w:type="spellEnd"/>
            <w:r w:rsidRPr="002109D5">
              <w:rPr>
                <w:rFonts w:ascii="Times New Roman" w:eastAsia="Times New Roman" w:hAnsi="Times New Roman" w:cs="Times New Roman"/>
                <w:sz w:val="24"/>
                <w:szCs w:val="24"/>
                <w:lang w:eastAsia="en-GB"/>
              </w:rPr>
              <w:t xml:space="preserve">/MWh ning meretuuleparkidel toetatavaks toodanguks 2 </w:t>
            </w:r>
            <w:proofErr w:type="spellStart"/>
            <w:r w:rsidRPr="002109D5">
              <w:rPr>
                <w:rFonts w:ascii="Times New Roman" w:eastAsia="Times New Roman" w:hAnsi="Times New Roman" w:cs="Times New Roman"/>
                <w:sz w:val="24"/>
                <w:szCs w:val="24"/>
                <w:lang w:eastAsia="en-GB"/>
              </w:rPr>
              <w:t>TWh</w:t>
            </w:r>
            <w:proofErr w:type="spellEnd"/>
            <w:r w:rsidRPr="002109D5">
              <w:rPr>
                <w:rFonts w:ascii="Times New Roman" w:eastAsia="Times New Roman" w:hAnsi="Times New Roman" w:cs="Times New Roman"/>
                <w:sz w:val="24"/>
                <w:szCs w:val="24"/>
                <w:lang w:eastAsia="en-GB"/>
              </w:rPr>
              <w:t xml:space="preserve">/a ja toetusmääraks 65 </w:t>
            </w:r>
            <w:proofErr w:type="spellStart"/>
            <w:r w:rsidRPr="002109D5">
              <w:rPr>
                <w:rFonts w:ascii="Times New Roman" w:eastAsia="Times New Roman" w:hAnsi="Times New Roman" w:cs="Times New Roman"/>
                <w:sz w:val="24"/>
                <w:szCs w:val="24"/>
                <w:lang w:eastAsia="en-GB"/>
              </w:rPr>
              <w:t>eur</w:t>
            </w:r>
            <w:proofErr w:type="spellEnd"/>
            <w:r w:rsidRPr="002109D5">
              <w:rPr>
                <w:rFonts w:ascii="Times New Roman" w:eastAsia="Times New Roman" w:hAnsi="Times New Roman" w:cs="Times New Roman"/>
                <w:sz w:val="24"/>
                <w:szCs w:val="24"/>
                <w:lang w:eastAsia="en-GB"/>
              </w:rPr>
              <w:t xml:space="preserve">/MWh, saame lisaks juba olemasolevatele toetatavatele projektidele lisanduva toetuse  maksimaalseks vajaduseks 210 mln eurot/a. Tänase Eesti sisemaise elektritarbimise püsimisel teeb see 25,6 €/MWh. Seletuskirjas toodud mõju analüüsis kasutatud stsenaarium RD ei vasta eelnõus planeeritavale maismaa ja meretuulepargi toodangu kogusele. Seletuskirja leheküljel 26 toodud elektrihinna graafikul ei ole ühtegi negatiivset elektri hinda, samas kui näiteks Soome hinnapiirkonnas oli 2023 aastal 467 negatiivse hinnaga tundi. Lk 27 toodud tabelis prognoositakse 2035 aastaks taastuvenergia tasusid kokku 200,6 mln eurot, mis tänase Eesti aastase 8,2 </w:t>
            </w:r>
            <w:proofErr w:type="spellStart"/>
            <w:r w:rsidRPr="002109D5">
              <w:rPr>
                <w:rFonts w:ascii="Times New Roman" w:eastAsia="Times New Roman" w:hAnsi="Times New Roman" w:cs="Times New Roman"/>
                <w:sz w:val="24"/>
                <w:szCs w:val="24"/>
                <w:lang w:eastAsia="en-GB"/>
              </w:rPr>
              <w:t>TWh</w:t>
            </w:r>
            <w:proofErr w:type="spellEnd"/>
            <w:r w:rsidRPr="002109D5">
              <w:rPr>
                <w:rFonts w:ascii="Times New Roman" w:eastAsia="Times New Roman" w:hAnsi="Times New Roman" w:cs="Times New Roman"/>
                <w:sz w:val="24"/>
                <w:szCs w:val="24"/>
                <w:lang w:eastAsia="en-GB"/>
              </w:rPr>
              <w:t>/a tarbimismahu säilides teeb tarbija makstavaks taastuvenergia tasuks 24,5 eurot/MWh ehk 2,45 senti/kWh, mis on 2 korda kõrgem kui elektrihinna mõju analüüsis toodud järeldused. Kokkuvõtteks on lõpptarbija jaoks taastuvenergia tasu vähenemise lootus rajatud tarbimise hüppelise kasvu eeldusele. Eeldatakse tarbimise enam kui kahekordset kasvu 2035. aastaks, samas pole toodud  niivõrd massiivse kasvu lootuse toetamiseks selgeid argumente. Lahtiseks jääb küsimus, et miks peaks energiamahukas tootmine tulema Eestisse, kus tuleb lisaks börsihinnale maksta taastuvenergia tasu, samas kui elektri börsihind Balti riikides on võrdne.</w:t>
            </w:r>
          </w:p>
          <w:p w14:paraId="4CACE085" w14:textId="77777777" w:rsidR="00AE07B3" w:rsidRDefault="00AE07B3" w:rsidP="00AE07B3">
            <w:pPr>
              <w:jc w:val="both"/>
              <w:rPr>
                <w:rFonts w:ascii="Times New Roman" w:eastAsia="Times New Roman" w:hAnsi="Times New Roman" w:cs="Times New Roman"/>
                <w:color w:val="000000"/>
                <w:sz w:val="24"/>
                <w:szCs w:val="24"/>
                <w:lang w:eastAsia="en-GB"/>
              </w:rPr>
            </w:pPr>
          </w:p>
          <w:p w14:paraId="1F2E2BAE" w14:textId="77777777" w:rsidR="00AE07B3" w:rsidRDefault="00AE07B3" w:rsidP="00F11797">
            <w:pPr>
              <w:pStyle w:val="Loendilik"/>
              <w:numPr>
                <w:ilvl w:val="0"/>
                <w:numId w:val="10"/>
              </w:numPr>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Teiseks on meretuuleparkide toetuste maksimaalne suurus, toetusperioodi kestus ja muud tingimused (nt piiraeg tootmise alustamiseks ja liitumiste finantseerimine) oluliselt heldemad maismaatuule ja teiste tootjatega võrreldes.</w:t>
            </w:r>
          </w:p>
          <w:p w14:paraId="494E7220" w14:textId="77777777" w:rsidR="00AE07B3" w:rsidRPr="00433285" w:rsidRDefault="00AE07B3" w:rsidP="00AE07B3">
            <w:pPr>
              <w:jc w:val="both"/>
              <w:rPr>
                <w:rFonts w:ascii="Times New Roman" w:eastAsia="Times New Roman" w:hAnsi="Times New Roman" w:cs="Times New Roman"/>
                <w:sz w:val="24"/>
                <w:szCs w:val="24"/>
                <w:lang w:eastAsia="en-GB"/>
              </w:rPr>
            </w:pPr>
          </w:p>
          <w:p w14:paraId="617D0D24" w14:textId="77777777" w:rsidR="00AE07B3" w:rsidRPr="00433285" w:rsidRDefault="00AE07B3" w:rsidP="00AE07B3">
            <w:pPr>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color w:val="000000"/>
                <w:sz w:val="24"/>
                <w:szCs w:val="24"/>
                <w:lang w:eastAsia="en-GB"/>
              </w:rPr>
              <w:t xml:space="preserve">Tööandjad on seisukohal, et riigipoolne toetus taastuvelektri vähempakkumistele peab olema kaalutletud läbipaistvalt ning turuosalistele võrdseid võimalusi pakkuvalt. </w:t>
            </w:r>
            <w:r>
              <w:rPr>
                <w:rFonts w:ascii="Times New Roman" w:eastAsia="Times New Roman" w:hAnsi="Times New Roman" w:cs="Times New Roman"/>
                <w:color w:val="000000"/>
                <w:sz w:val="24"/>
                <w:szCs w:val="24"/>
                <w:lang w:eastAsia="en-GB"/>
              </w:rPr>
              <w:t>Eelnõu</w:t>
            </w:r>
            <w:r w:rsidRPr="00433285">
              <w:rPr>
                <w:rFonts w:ascii="Times New Roman" w:eastAsia="Times New Roman" w:hAnsi="Times New Roman" w:cs="Times New Roman"/>
                <w:color w:val="000000"/>
                <w:sz w:val="24"/>
                <w:szCs w:val="24"/>
                <w:lang w:eastAsia="en-GB"/>
              </w:rPr>
              <w:t xml:space="preserve"> kohaselt tekitaks riik edaspidi meretuuleparkidele oluliselt soodsamad tingimused maismaatuule</w:t>
            </w:r>
            <w:r>
              <w:rPr>
                <w:rFonts w:ascii="Times New Roman" w:eastAsia="Times New Roman" w:hAnsi="Times New Roman" w:cs="Times New Roman"/>
                <w:color w:val="000000"/>
                <w:sz w:val="24"/>
                <w:szCs w:val="24"/>
                <w:lang w:eastAsia="en-GB"/>
              </w:rPr>
              <w:t xml:space="preserve">, päikese, tuuma- ja </w:t>
            </w:r>
            <w:proofErr w:type="spellStart"/>
            <w:r>
              <w:rPr>
                <w:rFonts w:ascii="Times New Roman" w:eastAsia="Times New Roman" w:hAnsi="Times New Roman" w:cs="Times New Roman"/>
                <w:color w:val="000000"/>
                <w:sz w:val="24"/>
                <w:szCs w:val="24"/>
                <w:lang w:eastAsia="en-GB"/>
              </w:rPr>
              <w:t>gaasijaamade</w:t>
            </w:r>
            <w:proofErr w:type="spellEnd"/>
            <w:r w:rsidRPr="00433285">
              <w:rPr>
                <w:rFonts w:ascii="Times New Roman" w:eastAsia="Times New Roman" w:hAnsi="Times New Roman" w:cs="Times New Roman"/>
                <w:color w:val="000000"/>
                <w:sz w:val="24"/>
                <w:szCs w:val="24"/>
                <w:lang w:eastAsia="en-GB"/>
              </w:rPr>
              <w:t xml:space="preserve"> jt tehnoloogiatega võrreldes.</w:t>
            </w:r>
            <w:r>
              <w:rPr>
                <w:rFonts w:ascii="Times New Roman" w:eastAsia="Times New Roman" w:hAnsi="Times New Roman" w:cs="Times New Roman"/>
                <w:color w:val="000000"/>
                <w:sz w:val="24"/>
                <w:szCs w:val="24"/>
                <w:lang w:eastAsia="en-GB"/>
              </w:rPr>
              <w:t xml:space="preserve"> Seejuures ei toeta ka seletuskirjas lk 19 toodud vajalike investeeringute suuruse kahekordne erinevus maksimaalse toetusemäära kolmekordset erinevust.</w:t>
            </w:r>
          </w:p>
          <w:p w14:paraId="156DFDEA" w14:textId="77777777" w:rsidR="00AE07B3" w:rsidRPr="00433285" w:rsidRDefault="00AE07B3" w:rsidP="00AE07B3">
            <w:pPr>
              <w:jc w:val="both"/>
              <w:rPr>
                <w:rFonts w:ascii="Times New Roman" w:eastAsia="Times New Roman" w:hAnsi="Times New Roman" w:cs="Times New Roman"/>
                <w:sz w:val="24"/>
                <w:szCs w:val="24"/>
                <w:lang w:eastAsia="en-GB"/>
              </w:rPr>
            </w:pPr>
          </w:p>
          <w:p w14:paraId="37B2B9B3" w14:textId="77777777" w:rsidR="00AE07B3" w:rsidRPr="00433285" w:rsidRDefault="00AE07B3" w:rsidP="00AE07B3">
            <w:pPr>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color w:val="000000"/>
                <w:sz w:val="24"/>
                <w:szCs w:val="24"/>
                <w:lang w:eastAsia="en-GB"/>
              </w:rPr>
              <w:t>Taastuvenergeetika toetusskeem, mis tooks just meretuuleparkide arendajatele oluliselt soodsamad tingimused, oleks vastuolus ENMAK eelnõus kirjeldatud Eesti energiapoliitika tehnoloogianeutraalse hankimise põhimõttega:</w:t>
            </w:r>
          </w:p>
          <w:p w14:paraId="5E8ACAA3" w14:textId="77777777" w:rsidR="00AE07B3" w:rsidRPr="00433285" w:rsidRDefault="00AE07B3" w:rsidP="00AE07B3">
            <w:pPr>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i/>
                <w:iCs/>
                <w:color w:val="000000"/>
                <w:sz w:val="24"/>
                <w:szCs w:val="24"/>
                <w:lang w:eastAsia="en-GB"/>
              </w:rPr>
              <w:t>Energiasüsteemi arendamine peab lähtuma Eesti majanduse arengu vajadustest – taastuvenergia areneb turupõhiselt</w:t>
            </w:r>
            <w:r w:rsidRPr="00433285">
              <w:rPr>
                <w:rFonts w:ascii="Times New Roman" w:eastAsia="Times New Roman" w:hAnsi="Times New Roman" w:cs="Times New Roman"/>
                <w:b/>
                <w:bCs/>
                <w:i/>
                <w:iCs/>
                <w:color w:val="000000"/>
                <w:sz w:val="24"/>
                <w:szCs w:val="24"/>
                <w:lang w:eastAsia="en-GB"/>
              </w:rPr>
              <w:t>,</w:t>
            </w:r>
            <w:r w:rsidRPr="00433285">
              <w:rPr>
                <w:rFonts w:ascii="Times New Roman" w:eastAsia="Times New Roman" w:hAnsi="Times New Roman" w:cs="Times New Roman"/>
                <w:i/>
                <w:iCs/>
                <w:color w:val="000000"/>
                <w:sz w:val="24"/>
                <w:szCs w:val="24"/>
                <w:lang w:eastAsia="en-GB"/>
              </w:rPr>
              <w:t xml:space="preserve"> vajadusel rakendatavate toetusmeetmete väljatöötamiseks kasutatakse </w:t>
            </w:r>
            <w:r w:rsidRPr="00433285">
              <w:rPr>
                <w:rFonts w:ascii="Times New Roman" w:eastAsia="Times New Roman" w:hAnsi="Times New Roman" w:cs="Times New Roman"/>
                <w:b/>
                <w:bCs/>
                <w:i/>
                <w:iCs/>
                <w:color w:val="000000"/>
                <w:sz w:val="24"/>
                <w:szCs w:val="24"/>
                <w:lang w:eastAsia="en-GB"/>
              </w:rPr>
              <w:t>tehnoloogianeutraalseid</w:t>
            </w:r>
            <w:r w:rsidRPr="00433285">
              <w:rPr>
                <w:rFonts w:ascii="Times New Roman" w:eastAsia="Times New Roman" w:hAnsi="Times New Roman" w:cs="Times New Roman"/>
                <w:i/>
                <w:iCs/>
                <w:color w:val="000000"/>
                <w:sz w:val="24"/>
                <w:szCs w:val="24"/>
                <w:lang w:eastAsia="en-GB"/>
              </w:rPr>
              <w:t xml:space="preserve"> ja </w:t>
            </w:r>
            <w:r w:rsidRPr="00433285">
              <w:rPr>
                <w:rFonts w:ascii="Times New Roman" w:eastAsia="Times New Roman" w:hAnsi="Times New Roman" w:cs="Times New Roman"/>
                <w:b/>
                <w:bCs/>
                <w:i/>
                <w:iCs/>
                <w:color w:val="000000"/>
                <w:sz w:val="24"/>
                <w:szCs w:val="24"/>
                <w:lang w:eastAsia="en-GB"/>
              </w:rPr>
              <w:t xml:space="preserve">turupõhiseid </w:t>
            </w:r>
            <w:r w:rsidRPr="00433285">
              <w:rPr>
                <w:rFonts w:ascii="Times New Roman" w:eastAsia="Times New Roman" w:hAnsi="Times New Roman" w:cs="Times New Roman"/>
                <w:i/>
                <w:iCs/>
                <w:color w:val="000000"/>
                <w:sz w:val="24"/>
                <w:szCs w:val="24"/>
                <w:lang w:eastAsia="en-GB"/>
              </w:rPr>
              <w:t>(sh vähempakkumise) lahendusi toomaks Eestis turule aasta läbi tootvad võimekused, tarbijate kaasamine (päritolutunnistused). </w:t>
            </w:r>
          </w:p>
          <w:p w14:paraId="0D8CBB6A" w14:textId="77777777" w:rsidR="00AE07B3" w:rsidRPr="00433285" w:rsidRDefault="00AE07B3" w:rsidP="00AE07B3">
            <w:pPr>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i/>
                <w:iCs/>
                <w:color w:val="000000"/>
                <w:sz w:val="24"/>
                <w:szCs w:val="24"/>
                <w:lang w:eastAsia="en-GB"/>
              </w:rPr>
              <w:t>(ENMAK 2035 eelnõu, lk 15)</w:t>
            </w:r>
          </w:p>
          <w:p w14:paraId="6AFE9012" w14:textId="77777777" w:rsidR="00AE07B3" w:rsidRPr="00433285" w:rsidRDefault="00AE07B3" w:rsidP="00AE07B3">
            <w:pPr>
              <w:jc w:val="both"/>
              <w:rPr>
                <w:rFonts w:ascii="Times New Roman" w:eastAsia="Times New Roman" w:hAnsi="Times New Roman" w:cs="Times New Roman"/>
                <w:sz w:val="24"/>
                <w:szCs w:val="24"/>
                <w:lang w:eastAsia="en-GB"/>
              </w:rPr>
            </w:pPr>
          </w:p>
          <w:p w14:paraId="42E9F614" w14:textId="77777777" w:rsidR="00AE07B3" w:rsidRPr="00433285" w:rsidRDefault="00AE07B3" w:rsidP="00AE07B3">
            <w:pPr>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color w:val="000000"/>
                <w:sz w:val="24"/>
                <w:szCs w:val="24"/>
                <w:lang w:eastAsia="en-GB"/>
              </w:rPr>
              <w:t xml:space="preserve">Oleme seisukohal, et taastuvenergeetika lahendused peavad olema loodud eelkõige tarbijale (sh energiaintensiivne tootmine) soodsatel tingimustel ning arendatud maksimaalses määras turupõhiselt. </w:t>
            </w:r>
            <w:r w:rsidRPr="00433285">
              <w:rPr>
                <w:rFonts w:ascii="Times New Roman" w:eastAsia="Times New Roman" w:hAnsi="Times New Roman" w:cs="Times New Roman"/>
                <w:color w:val="000000"/>
                <w:sz w:val="24"/>
                <w:szCs w:val="24"/>
                <w:lang w:eastAsia="en-GB"/>
              </w:rPr>
              <w:lastRenderedPageBreak/>
              <w:t>Vajaduspõhised toetusskeemid peavad olema loodud kõigile võrdsetel alustel ja tehnoloogianeutraalselt, seejuures tuleb esmalt kasutada ära tarbija ja maksumaksja jaoks majanduslikult kõige soodsamad lahendused. </w:t>
            </w:r>
          </w:p>
          <w:p w14:paraId="24923AB4" w14:textId="77777777" w:rsidR="00AE07B3" w:rsidRPr="00433285" w:rsidRDefault="00AE07B3" w:rsidP="00AE07B3">
            <w:pPr>
              <w:jc w:val="both"/>
              <w:rPr>
                <w:rFonts w:ascii="Times New Roman" w:eastAsia="Times New Roman" w:hAnsi="Times New Roman" w:cs="Times New Roman"/>
                <w:sz w:val="24"/>
                <w:szCs w:val="24"/>
                <w:lang w:eastAsia="en-GB"/>
              </w:rPr>
            </w:pPr>
          </w:p>
          <w:p w14:paraId="18E2D247" w14:textId="77777777" w:rsidR="00AE07B3" w:rsidRPr="00433285" w:rsidRDefault="00AE07B3" w:rsidP="00AE07B3">
            <w:pPr>
              <w:jc w:val="both"/>
              <w:rPr>
                <w:rFonts w:ascii="Times New Roman" w:eastAsia="Times New Roman" w:hAnsi="Times New Roman" w:cs="Times New Roman"/>
                <w:sz w:val="24"/>
                <w:szCs w:val="24"/>
                <w:lang w:eastAsia="en-GB"/>
              </w:rPr>
            </w:pPr>
            <w:r w:rsidRPr="00433285">
              <w:rPr>
                <w:rFonts w:ascii="Times New Roman" w:eastAsia="Times New Roman" w:hAnsi="Times New Roman" w:cs="Times New Roman"/>
                <w:color w:val="000000"/>
                <w:sz w:val="24"/>
                <w:szCs w:val="24"/>
                <w:lang w:eastAsia="en-GB"/>
              </w:rPr>
              <w:t>Kahtleme, kas kaalutud stsenaariumi ning toetusskeemi puhul on võetud arvesse tänaste turuosaliste juba tehtud pikaajalisi investeeringuid ning arvestatud juba kavandatud planeeringutega</w:t>
            </w:r>
            <w:r>
              <w:rPr>
                <w:rFonts w:ascii="Times New Roman" w:eastAsia="Times New Roman" w:hAnsi="Times New Roman" w:cs="Times New Roman"/>
                <w:color w:val="000000"/>
                <w:sz w:val="24"/>
                <w:szCs w:val="24"/>
                <w:lang w:eastAsia="en-GB"/>
              </w:rPr>
              <w:t>.</w:t>
            </w:r>
            <w:r w:rsidRPr="00433285">
              <w:rPr>
                <w:rFonts w:ascii="Times New Roman" w:eastAsia="Times New Roman" w:hAnsi="Times New Roman" w:cs="Times New Roman"/>
                <w:color w:val="000000"/>
                <w:sz w:val="24"/>
                <w:szCs w:val="24"/>
                <w:lang w:eastAsia="en-GB"/>
              </w:rPr>
              <w:t xml:space="preserve"> Näeme, et  energiaturu mõjutamine eelisarendamisega vähendab pikemas plaanis kõigi turuosaliste investeerimiskindlust ja on vastuolus võrdse kohtlemise printsiibiga. </w:t>
            </w:r>
            <w:r>
              <w:rPr>
                <w:rFonts w:ascii="Times New Roman" w:eastAsia="Times New Roman" w:hAnsi="Times New Roman" w:cs="Times New Roman"/>
                <w:color w:val="000000"/>
                <w:sz w:val="24"/>
                <w:szCs w:val="24"/>
                <w:lang w:eastAsia="en-GB"/>
              </w:rPr>
              <w:t xml:space="preserve">Me pole meretuuleparkide rajamise vastu, aga </w:t>
            </w:r>
            <w:r w:rsidRPr="00433285">
              <w:rPr>
                <w:rFonts w:ascii="Times New Roman" w:eastAsia="Times New Roman" w:hAnsi="Times New Roman" w:cs="Times New Roman"/>
                <w:color w:val="000000"/>
                <w:sz w:val="24"/>
                <w:szCs w:val="24"/>
                <w:lang w:eastAsia="en-GB"/>
              </w:rPr>
              <w:t xml:space="preserve">varustuskindluse </w:t>
            </w:r>
            <w:r>
              <w:rPr>
                <w:rFonts w:ascii="Times New Roman" w:eastAsia="Times New Roman" w:hAnsi="Times New Roman" w:cs="Times New Roman"/>
                <w:color w:val="000000"/>
                <w:sz w:val="24"/>
                <w:szCs w:val="24"/>
                <w:lang w:eastAsia="en-GB"/>
              </w:rPr>
              <w:t xml:space="preserve">ja turu arengu </w:t>
            </w:r>
            <w:r w:rsidRPr="00433285">
              <w:rPr>
                <w:rFonts w:ascii="Times New Roman" w:eastAsia="Times New Roman" w:hAnsi="Times New Roman" w:cs="Times New Roman"/>
                <w:color w:val="000000"/>
                <w:sz w:val="24"/>
                <w:szCs w:val="24"/>
                <w:lang w:eastAsia="en-GB"/>
              </w:rPr>
              <w:t xml:space="preserve">seisukohast </w:t>
            </w:r>
            <w:r>
              <w:rPr>
                <w:rFonts w:ascii="Times New Roman" w:eastAsia="Times New Roman" w:hAnsi="Times New Roman" w:cs="Times New Roman"/>
                <w:color w:val="000000"/>
                <w:sz w:val="24"/>
                <w:szCs w:val="24"/>
                <w:lang w:eastAsia="en-GB"/>
              </w:rPr>
              <w:t xml:space="preserve">pole </w:t>
            </w:r>
            <w:r w:rsidRPr="00433285">
              <w:rPr>
                <w:rFonts w:ascii="Times New Roman" w:eastAsia="Times New Roman" w:hAnsi="Times New Roman" w:cs="Times New Roman"/>
                <w:color w:val="000000"/>
                <w:sz w:val="24"/>
                <w:szCs w:val="24"/>
                <w:lang w:eastAsia="en-GB"/>
              </w:rPr>
              <w:t>hea lahendus, kui meretuuleparkidele loodud soodustingimused teised tootjad konkurentsist välja lükkaks või ebakindlusest investeeringuid katkestama paneks.</w:t>
            </w:r>
          </w:p>
          <w:p w14:paraId="50A99AD3" w14:textId="77777777" w:rsidR="00AE07B3" w:rsidRPr="00EC5386" w:rsidRDefault="00AE07B3" w:rsidP="00AE07B3">
            <w:pPr>
              <w:jc w:val="both"/>
              <w:rPr>
                <w:rFonts w:ascii="Times New Roman" w:eastAsia="Times New Roman" w:hAnsi="Times New Roman" w:cs="Times New Roman"/>
                <w:sz w:val="24"/>
                <w:szCs w:val="24"/>
                <w:lang w:eastAsia="en-GB"/>
              </w:rPr>
            </w:pPr>
          </w:p>
          <w:p w14:paraId="15A570DD" w14:textId="77777777" w:rsidR="00AE07B3" w:rsidRPr="00961CBC" w:rsidRDefault="00AE07B3" w:rsidP="00AE07B3">
            <w:pPr>
              <w:jc w:val="both"/>
              <w:rPr>
                <w:rFonts w:ascii="Times New Roman" w:eastAsia="Times New Roman" w:hAnsi="Times New Roman" w:cs="Times New Roman"/>
                <w:b/>
                <w:bCs/>
                <w:sz w:val="24"/>
                <w:szCs w:val="24"/>
                <w:lang w:eastAsia="en-GB"/>
              </w:rPr>
            </w:pPr>
            <w:r w:rsidRPr="00961CBC">
              <w:rPr>
                <w:rFonts w:ascii="Times New Roman" w:eastAsia="Times New Roman" w:hAnsi="Times New Roman" w:cs="Times New Roman"/>
                <w:b/>
                <w:bCs/>
                <w:color w:val="000000"/>
                <w:sz w:val="24"/>
                <w:szCs w:val="24"/>
                <w:lang w:eastAsia="en-GB"/>
              </w:rPr>
              <w:t xml:space="preserve">Lisaks </w:t>
            </w:r>
            <w:proofErr w:type="spellStart"/>
            <w:r>
              <w:rPr>
                <w:rFonts w:ascii="Times New Roman" w:eastAsia="Times New Roman" w:hAnsi="Times New Roman" w:cs="Times New Roman"/>
                <w:b/>
                <w:bCs/>
                <w:color w:val="000000"/>
                <w:sz w:val="24"/>
                <w:szCs w:val="24"/>
                <w:lang w:eastAsia="en-GB"/>
              </w:rPr>
              <w:t>ELTSi</w:t>
            </w:r>
            <w:proofErr w:type="spellEnd"/>
            <w:r>
              <w:rPr>
                <w:rFonts w:ascii="Times New Roman" w:eastAsia="Times New Roman" w:hAnsi="Times New Roman" w:cs="Times New Roman"/>
                <w:b/>
                <w:bCs/>
                <w:color w:val="000000"/>
                <w:sz w:val="24"/>
                <w:szCs w:val="24"/>
                <w:lang w:eastAsia="en-GB"/>
              </w:rPr>
              <w:t xml:space="preserve"> eelnõule ja </w:t>
            </w:r>
            <w:r w:rsidRPr="00961CBC">
              <w:rPr>
                <w:rFonts w:ascii="Times New Roman" w:eastAsia="Times New Roman" w:hAnsi="Times New Roman" w:cs="Times New Roman"/>
                <w:b/>
                <w:bCs/>
                <w:color w:val="000000"/>
                <w:sz w:val="24"/>
                <w:szCs w:val="24"/>
                <w:lang w:eastAsia="en-GB"/>
              </w:rPr>
              <w:t xml:space="preserve">taastuvenergia </w:t>
            </w:r>
            <w:r>
              <w:rPr>
                <w:rFonts w:ascii="Times New Roman" w:eastAsia="Times New Roman" w:hAnsi="Times New Roman" w:cs="Times New Roman"/>
                <w:b/>
                <w:bCs/>
                <w:color w:val="000000"/>
                <w:sz w:val="24"/>
                <w:szCs w:val="24"/>
                <w:lang w:eastAsia="en-GB"/>
              </w:rPr>
              <w:t xml:space="preserve">tootjate </w:t>
            </w:r>
            <w:r w:rsidRPr="00961CBC">
              <w:rPr>
                <w:rFonts w:ascii="Times New Roman" w:eastAsia="Times New Roman" w:hAnsi="Times New Roman" w:cs="Times New Roman"/>
                <w:b/>
                <w:bCs/>
                <w:color w:val="000000"/>
                <w:sz w:val="24"/>
                <w:szCs w:val="24"/>
                <w:lang w:eastAsia="en-GB"/>
              </w:rPr>
              <w:t>toetamisele on lähiajal elektrihinda kergitamas veel v</w:t>
            </w:r>
            <w:r w:rsidRPr="00B70E58">
              <w:rPr>
                <w:rFonts w:ascii="Times New Roman" w:eastAsia="Times New Roman" w:hAnsi="Times New Roman" w:cs="Times New Roman"/>
                <w:b/>
                <w:bCs/>
                <w:sz w:val="24"/>
                <w:szCs w:val="24"/>
                <w:lang w:eastAsia="en-GB"/>
              </w:rPr>
              <w:t>õrgu</w:t>
            </w:r>
            <w:r w:rsidRPr="00961CBC">
              <w:rPr>
                <w:rFonts w:ascii="Times New Roman" w:eastAsia="Times New Roman" w:hAnsi="Times New Roman" w:cs="Times New Roman"/>
                <w:b/>
                <w:bCs/>
                <w:sz w:val="24"/>
                <w:szCs w:val="24"/>
                <w:lang w:eastAsia="en-GB"/>
              </w:rPr>
              <w:t xml:space="preserve"> arendusvajadus.</w:t>
            </w:r>
          </w:p>
          <w:p w14:paraId="06E78A75" w14:textId="77777777" w:rsidR="00AE07B3" w:rsidRPr="00E518F4" w:rsidRDefault="00AE07B3" w:rsidP="00AE07B3">
            <w:pPr>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sz w:val="24"/>
                <w:szCs w:val="24"/>
                <w:lang w:eastAsia="en-GB"/>
              </w:rPr>
              <w:t xml:space="preserve"> </w:t>
            </w:r>
          </w:p>
          <w:p w14:paraId="7BB75882" w14:textId="77777777" w:rsidR="00AE07B3" w:rsidRDefault="00AE07B3" w:rsidP="00F11797">
            <w:pPr>
              <w:pStyle w:val="Loendilik"/>
              <w:numPr>
                <w:ilvl w:val="0"/>
                <w:numId w:val="11"/>
              </w:numPr>
              <w:jc w:val="both"/>
              <w:rPr>
                <w:rFonts w:ascii="Times New Roman" w:eastAsia="Times New Roman" w:hAnsi="Times New Roman" w:cs="Times New Roman"/>
                <w:sz w:val="24"/>
                <w:szCs w:val="24"/>
                <w:lang w:eastAsia="en-GB"/>
              </w:rPr>
            </w:pPr>
            <w:proofErr w:type="spellStart"/>
            <w:r w:rsidRPr="00EC4000">
              <w:rPr>
                <w:rFonts w:ascii="Times New Roman" w:eastAsia="Times New Roman" w:hAnsi="Times New Roman" w:cs="Times New Roman"/>
                <w:sz w:val="24"/>
                <w:szCs w:val="24"/>
                <w:lang w:eastAsia="en-GB"/>
              </w:rPr>
              <w:t>Hajatootmise</w:t>
            </w:r>
            <w:proofErr w:type="spellEnd"/>
            <w:r w:rsidRPr="00EC4000">
              <w:rPr>
                <w:rFonts w:ascii="Times New Roman" w:eastAsia="Times New Roman" w:hAnsi="Times New Roman" w:cs="Times New Roman"/>
                <w:sz w:val="24"/>
                <w:szCs w:val="24"/>
                <w:lang w:eastAsia="en-GB"/>
              </w:rPr>
              <w:t xml:space="preserve"> (sh tuulepargid) kiire areng kiirendab võrgu arenduskulude kasvu. </w:t>
            </w:r>
          </w:p>
          <w:p w14:paraId="43CB614C" w14:textId="77777777" w:rsidR="00AE07B3" w:rsidRPr="00DA255C" w:rsidRDefault="00AE07B3" w:rsidP="00F11797">
            <w:pPr>
              <w:pStyle w:val="Loendilik"/>
              <w:numPr>
                <w:ilvl w:val="0"/>
                <w:numId w:val="11"/>
              </w:num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Mandri-Euroopa</w:t>
            </w:r>
            <w:r w:rsidRPr="00DA255C">
              <w:rPr>
                <w:rFonts w:ascii="Times New Roman" w:eastAsia="Times New Roman" w:hAnsi="Times New Roman" w:cs="Times New Roman"/>
                <w:sz w:val="24"/>
                <w:szCs w:val="24"/>
                <w:lang w:eastAsia="en-GB"/>
              </w:rPr>
              <w:t xml:space="preserve"> võrgusageduse</w:t>
            </w:r>
            <w:r>
              <w:rPr>
                <w:rFonts w:ascii="Times New Roman" w:eastAsia="Times New Roman" w:hAnsi="Times New Roman" w:cs="Times New Roman"/>
                <w:sz w:val="24"/>
                <w:szCs w:val="24"/>
                <w:lang w:eastAsia="en-GB"/>
              </w:rPr>
              <w:t>ga</w:t>
            </w:r>
            <w:r w:rsidRPr="00DA255C">
              <w:rPr>
                <w:rFonts w:ascii="Times New Roman" w:eastAsia="Times New Roman" w:hAnsi="Times New Roman" w:cs="Times New Roman"/>
                <w:sz w:val="24"/>
                <w:szCs w:val="24"/>
                <w:lang w:eastAsia="en-GB"/>
              </w:rPr>
              <w:t xml:space="preserve"> sünkroniseerimine tähendab, et tuleb ehitada võrku ja hoida sagedusvaru. Nt on sagedusreservi tasu lisamas Eesti tarbijatele ja tootjatele  alates 02.2025 ligikaudses määras 5,31 </w:t>
            </w:r>
            <w:proofErr w:type="spellStart"/>
            <w:r w:rsidRPr="00DA255C">
              <w:rPr>
                <w:rFonts w:ascii="Times New Roman" w:eastAsia="Times New Roman" w:hAnsi="Times New Roman" w:cs="Times New Roman"/>
                <w:sz w:val="24"/>
                <w:szCs w:val="24"/>
                <w:lang w:eastAsia="en-GB"/>
              </w:rPr>
              <w:t>eur</w:t>
            </w:r>
            <w:proofErr w:type="spellEnd"/>
            <w:r w:rsidRPr="00DA255C">
              <w:rPr>
                <w:rFonts w:ascii="Times New Roman" w:eastAsia="Times New Roman" w:hAnsi="Times New Roman" w:cs="Times New Roman"/>
                <w:sz w:val="24"/>
                <w:szCs w:val="24"/>
                <w:lang w:eastAsia="en-GB"/>
              </w:rPr>
              <w:t xml:space="preserve">/MWh+ käibemaks , mis on suurusjärgu kõrgem Soome samalaadsest tasust (1,2-1,6 </w:t>
            </w:r>
            <w:proofErr w:type="spellStart"/>
            <w:r w:rsidRPr="00DA255C">
              <w:rPr>
                <w:rFonts w:ascii="Times New Roman" w:eastAsia="Times New Roman" w:hAnsi="Times New Roman" w:cs="Times New Roman"/>
                <w:sz w:val="24"/>
                <w:szCs w:val="24"/>
                <w:lang w:eastAsia="en-GB"/>
              </w:rPr>
              <w:t>eur</w:t>
            </w:r>
            <w:proofErr w:type="spellEnd"/>
            <w:r w:rsidRPr="00DA255C">
              <w:rPr>
                <w:rFonts w:ascii="Times New Roman" w:eastAsia="Times New Roman" w:hAnsi="Times New Roman" w:cs="Times New Roman"/>
                <w:sz w:val="24"/>
                <w:szCs w:val="24"/>
                <w:lang w:eastAsia="en-GB"/>
              </w:rPr>
              <w:t>/MWh). Lisaks pole see uus tasu veel seadusega reguleeritud, mille tõttu puudub õiguslik selgus uue tasu olulistes elementides, selle kohustuslastes, arvelduspõhimõtetes ja maksimaalses tasemes. Lisaks ei ole 2025. aastaks selge milline saab olema Baltikumi-ülene harmoniseeritud lahendus, mis ei halvendaks Eesti tootjate ja tarbijate konkurentsivõimet. Toonitame, et  2025. aastal Eesti tootjatelt ja tarbijalt sagedusreservi tasu kohaldamine ja sisse nõudmine oleks Eesti majandust kahjustava toimega.</w:t>
            </w:r>
          </w:p>
          <w:p w14:paraId="6C607401" w14:textId="77777777" w:rsidR="00AE07B3" w:rsidRPr="00B251C7" w:rsidRDefault="00AE07B3" w:rsidP="00F11797">
            <w:pPr>
              <w:pStyle w:val="Loendilik"/>
              <w:numPr>
                <w:ilvl w:val="0"/>
                <w:numId w:val="11"/>
              </w:numPr>
              <w:jc w:val="both"/>
              <w:rPr>
                <w:rFonts w:ascii="Times New Roman" w:eastAsia="Times New Roman" w:hAnsi="Times New Roman" w:cs="Times New Roman"/>
                <w:sz w:val="24"/>
                <w:szCs w:val="24"/>
                <w:lang w:eastAsia="en-GB"/>
              </w:rPr>
            </w:pPr>
            <w:r w:rsidRPr="00B251C7">
              <w:rPr>
                <w:rFonts w:ascii="Times New Roman" w:eastAsia="Times New Roman" w:hAnsi="Times New Roman" w:cs="Times New Roman"/>
                <w:sz w:val="24"/>
                <w:szCs w:val="24"/>
                <w:lang w:eastAsia="en-GB"/>
              </w:rPr>
              <w:t xml:space="preserve">Estlink 3 väljaehitamine annab perspektiivis küll parema varustuskindluse, kuid algselt suurendaks võrgu arenduskulusid ja </w:t>
            </w:r>
            <w:r>
              <w:rPr>
                <w:rFonts w:ascii="Times New Roman" w:eastAsia="Times New Roman" w:hAnsi="Times New Roman" w:cs="Times New Roman"/>
                <w:sz w:val="24"/>
                <w:szCs w:val="24"/>
                <w:lang w:eastAsia="en-GB"/>
              </w:rPr>
              <w:t xml:space="preserve">võib </w:t>
            </w:r>
            <w:r w:rsidRPr="00B251C7">
              <w:rPr>
                <w:rFonts w:ascii="Times New Roman" w:eastAsia="Times New Roman" w:hAnsi="Times New Roman" w:cs="Times New Roman"/>
                <w:sz w:val="24"/>
                <w:szCs w:val="24"/>
                <w:lang w:eastAsia="en-GB"/>
              </w:rPr>
              <w:t>vähenda</w:t>
            </w:r>
            <w:r>
              <w:rPr>
                <w:rFonts w:ascii="Times New Roman" w:eastAsia="Times New Roman" w:hAnsi="Times New Roman" w:cs="Times New Roman"/>
                <w:sz w:val="24"/>
                <w:szCs w:val="24"/>
                <w:lang w:eastAsia="en-GB"/>
              </w:rPr>
              <w:t>da ka</w:t>
            </w:r>
            <w:r w:rsidRPr="00B251C7">
              <w:rPr>
                <w:rFonts w:ascii="Times New Roman" w:eastAsia="Times New Roman" w:hAnsi="Times New Roman" w:cs="Times New Roman"/>
                <w:sz w:val="24"/>
                <w:szCs w:val="24"/>
                <w:lang w:eastAsia="en-GB"/>
              </w:rPr>
              <w:t xml:space="preserve"> kohalike investeeringute atraktiivsust.</w:t>
            </w:r>
          </w:p>
          <w:p w14:paraId="4B4F2A92" w14:textId="77777777" w:rsidR="00AE07B3" w:rsidRPr="00433285" w:rsidRDefault="00AE07B3" w:rsidP="00AE07B3">
            <w:pPr>
              <w:jc w:val="both"/>
              <w:rPr>
                <w:rFonts w:ascii="Times New Roman" w:eastAsia="Times New Roman" w:hAnsi="Times New Roman" w:cs="Times New Roman"/>
                <w:sz w:val="24"/>
                <w:szCs w:val="24"/>
                <w:lang w:eastAsia="en-GB"/>
              </w:rPr>
            </w:pPr>
          </w:p>
          <w:p w14:paraId="37210592" w14:textId="77777777" w:rsidR="00AE07B3" w:rsidRDefault="00AE07B3" w:rsidP="00AE07B3">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Kokkuvõtvalt on tööandjate kui elektritarbijate suurim mure, kuidas säilitada kõigi elektri kulukomponentide hinnatõusu valguses konkurentsivõime. Energeetikas tuleb hoolikalt otsida õiget tasakaalu tootjatele investeerimiskindluse ja toe andmise ning tarbijate konkurentsivõime parandamise vahel, sest üks ei saa hakkama ilma teiseta. Leiame, et </w:t>
            </w:r>
            <w:proofErr w:type="spellStart"/>
            <w:r>
              <w:rPr>
                <w:rFonts w:ascii="Times New Roman" w:eastAsia="Times New Roman" w:hAnsi="Times New Roman" w:cs="Times New Roman"/>
                <w:sz w:val="24"/>
                <w:szCs w:val="24"/>
                <w:lang w:eastAsia="en-GB"/>
              </w:rPr>
              <w:t>ELTSi</w:t>
            </w:r>
            <w:proofErr w:type="spellEnd"/>
            <w:r>
              <w:rPr>
                <w:rFonts w:ascii="Times New Roman" w:eastAsia="Times New Roman" w:hAnsi="Times New Roman" w:cs="Times New Roman"/>
                <w:sz w:val="24"/>
                <w:szCs w:val="24"/>
                <w:lang w:eastAsia="en-GB"/>
              </w:rPr>
              <w:t xml:space="preserve"> eelnõu aluseks on võetud meile küsitavad eeldused (kõrge võrdlusbaas elektrihinnale ja liiga optimistlikud ootused tarbimise kasvule) ning seletuskirjas esitatud analüüs ei ole piisavalt veenev.</w:t>
            </w:r>
          </w:p>
          <w:p w14:paraId="08DF8669" w14:textId="77777777" w:rsidR="00AE07B3" w:rsidRDefault="00AE07B3" w:rsidP="00AE07B3">
            <w:pPr>
              <w:jc w:val="both"/>
              <w:rPr>
                <w:rFonts w:ascii="Times New Roman" w:eastAsia="Times New Roman" w:hAnsi="Times New Roman" w:cs="Times New Roman"/>
                <w:sz w:val="24"/>
                <w:szCs w:val="24"/>
                <w:lang w:eastAsia="en-GB"/>
              </w:rPr>
            </w:pPr>
          </w:p>
          <w:p w14:paraId="023431DB" w14:textId="77777777" w:rsidR="00AE07B3" w:rsidRPr="00433285" w:rsidRDefault="00AE07B3" w:rsidP="00AE07B3">
            <w:pPr>
              <w:jc w:val="both"/>
              <w:rPr>
                <w:rFonts w:ascii="Times New Roman" w:eastAsia="Times New Roman" w:hAnsi="Times New Roman" w:cs="Times New Roman"/>
                <w:sz w:val="24"/>
                <w:szCs w:val="24"/>
                <w:lang w:eastAsia="en-GB"/>
              </w:rPr>
            </w:pPr>
            <w:r w:rsidRPr="00B56A0C">
              <w:rPr>
                <w:rFonts w:ascii="Times New Roman" w:eastAsia="Times New Roman" w:hAnsi="Times New Roman" w:cs="Times New Roman"/>
                <w:b/>
                <w:bCs/>
                <w:sz w:val="24"/>
                <w:szCs w:val="24"/>
                <w:lang w:eastAsia="en-GB"/>
              </w:rPr>
              <w:t>Sellest tulenevalt teeme järgmised ettepanekud</w:t>
            </w:r>
            <w:r>
              <w:rPr>
                <w:rFonts w:ascii="Times New Roman" w:eastAsia="Times New Roman" w:hAnsi="Times New Roman" w:cs="Times New Roman"/>
                <w:sz w:val="24"/>
                <w:szCs w:val="24"/>
                <w:lang w:eastAsia="en-GB"/>
              </w:rPr>
              <w:t>:</w:t>
            </w:r>
          </w:p>
          <w:p w14:paraId="43A12818" w14:textId="47FDFB93" w:rsidR="00531BA7" w:rsidRPr="002E5529" w:rsidRDefault="00AE07B3" w:rsidP="002E5529">
            <w:pPr>
              <w:pStyle w:val="Loendilik"/>
              <w:numPr>
                <w:ilvl w:val="0"/>
                <w:numId w:val="9"/>
              </w:numPr>
              <w:jc w:val="both"/>
              <w:textAlignment w:val="baseline"/>
              <w:rPr>
                <w:rFonts w:ascii="Times New Roman" w:eastAsia="Times New Roman" w:hAnsi="Times New Roman" w:cs="Times New Roman"/>
                <w:color w:val="000000"/>
                <w:sz w:val="24"/>
                <w:szCs w:val="24"/>
                <w:lang w:eastAsia="en-GB"/>
              </w:rPr>
            </w:pPr>
            <w:r w:rsidRPr="005D775F">
              <w:rPr>
                <w:rFonts w:ascii="Times New Roman" w:eastAsia="Times New Roman" w:hAnsi="Times New Roman" w:cs="Times New Roman"/>
                <w:color w:val="000000"/>
                <w:sz w:val="24"/>
                <w:szCs w:val="24"/>
                <w:lang w:eastAsia="en-GB"/>
              </w:rPr>
              <w:t>Palu</w:t>
            </w:r>
            <w:r>
              <w:rPr>
                <w:rFonts w:ascii="Times New Roman" w:eastAsia="Times New Roman" w:hAnsi="Times New Roman" w:cs="Times New Roman"/>
                <w:color w:val="000000"/>
                <w:sz w:val="24"/>
                <w:szCs w:val="24"/>
                <w:lang w:eastAsia="en-GB"/>
              </w:rPr>
              <w:t>me</w:t>
            </w:r>
            <w:r w:rsidRPr="005D775F">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Keskliitu </w:t>
            </w:r>
            <w:r w:rsidRPr="005D775F">
              <w:rPr>
                <w:rFonts w:ascii="Times New Roman" w:eastAsia="Times New Roman" w:hAnsi="Times New Roman" w:cs="Times New Roman"/>
                <w:color w:val="000000"/>
                <w:sz w:val="24"/>
                <w:szCs w:val="24"/>
                <w:lang w:eastAsia="en-GB"/>
              </w:rPr>
              <w:t xml:space="preserve">kaasates välja töötada elektri lõpphinna prognoosistsenaariumid, kus tootmise omahinnad, toetusvajadus, tarbimismahud, riiklikud maksud ja võrguteenuse hind oleks arvesse võetud </w:t>
            </w:r>
            <w:r w:rsidRPr="005D775F">
              <w:rPr>
                <w:rFonts w:ascii="Times New Roman" w:eastAsia="Times New Roman" w:hAnsi="Times New Roman" w:cs="Times New Roman"/>
                <w:color w:val="000000"/>
                <w:sz w:val="24"/>
                <w:szCs w:val="24"/>
                <w:lang w:eastAsia="en-GB"/>
              </w:rPr>
              <w:lastRenderedPageBreak/>
              <w:t>ning võrreldud kõiki taastuvenergiale ülemineku stsenaariume, leid</w:t>
            </w:r>
            <w:r>
              <w:rPr>
                <w:rFonts w:ascii="Times New Roman" w:eastAsia="Times New Roman" w:hAnsi="Times New Roman" w:cs="Times New Roman"/>
                <w:color w:val="000000"/>
                <w:sz w:val="24"/>
                <w:szCs w:val="24"/>
                <w:lang w:eastAsia="en-GB"/>
              </w:rPr>
              <w:t>m</w:t>
            </w:r>
            <w:r w:rsidRPr="005D775F">
              <w:rPr>
                <w:rFonts w:ascii="Times New Roman" w:eastAsia="Times New Roman" w:hAnsi="Times New Roman" w:cs="Times New Roman"/>
                <w:color w:val="000000"/>
                <w:sz w:val="24"/>
                <w:szCs w:val="24"/>
                <w:lang w:eastAsia="en-GB"/>
              </w:rPr>
              <w:t>a</w:t>
            </w:r>
            <w:r>
              <w:rPr>
                <w:rFonts w:ascii="Times New Roman" w:eastAsia="Times New Roman" w:hAnsi="Times New Roman" w:cs="Times New Roman"/>
                <w:color w:val="000000"/>
                <w:sz w:val="24"/>
                <w:szCs w:val="24"/>
                <w:lang w:eastAsia="en-GB"/>
              </w:rPr>
              <w:t>ks</w:t>
            </w:r>
            <w:r w:rsidRPr="005D775F">
              <w:rPr>
                <w:rFonts w:ascii="Times New Roman" w:eastAsia="Times New Roman" w:hAnsi="Times New Roman" w:cs="Times New Roman"/>
                <w:color w:val="000000"/>
                <w:sz w:val="24"/>
                <w:szCs w:val="24"/>
                <w:lang w:eastAsia="en-GB"/>
              </w:rPr>
              <w:t xml:space="preserve"> sobivaim lahendus nii tarbijatele kui ka energiatootjatele. </w:t>
            </w:r>
            <w:r w:rsidRPr="001E0289">
              <w:rPr>
                <w:rFonts w:ascii="Times New Roman" w:eastAsia="Times New Roman" w:hAnsi="Times New Roman" w:cs="Times New Roman"/>
                <w:color w:val="000000"/>
                <w:sz w:val="24"/>
                <w:szCs w:val="24"/>
                <w:lang w:eastAsia="en-GB"/>
              </w:rPr>
              <w:t xml:space="preserve">Erilist tähelepanu peab suunama lisaks Eesti tootmisvõimsustele ka meie elektrituru hinnapiirkonda tugevalt mõjutatavatele elektrienergia eksport- ja importturgudel lisanduvatele tootmisvõimsustele ja nende tootmisprofiilile. </w:t>
            </w:r>
            <w:r>
              <w:rPr>
                <w:rFonts w:ascii="Times New Roman" w:eastAsia="Times New Roman" w:hAnsi="Times New Roman" w:cs="Times New Roman"/>
                <w:color w:val="000000"/>
                <w:sz w:val="24"/>
                <w:szCs w:val="24"/>
                <w:lang w:eastAsia="en-GB"/>
              </w:rPr>
              <w:t>Kaasatud peaks olema nii erinevad tootjad kui suurimate tarbijate esindajad. Analüüsi eesmärk peaks olema k</w:t>
            </w:r>
            <w:r w:rsidRPr="005D775F">
              <w:rPr>
                <w:rFonts w:ascii="Times New Roman" w:eastAsia="Times New Roman" w:hAnsi="Times New Roman" w:cs="Times New Roman"/>
                <w:color w:val="000000"/>
                <w:sz w:val="24"/>
                <w:szCs w:val="24"/>
                <w:lang w:eastAsia="en-GB"/>
              </w:rPr>
              <w:t>onkurentsivõimeli</w:t>
            </w:r>
            <w:r>
              <w:rPr>
                <w:rFonts w:ascii="Times New Roman" w:eastAsia="Times New Roman" w:hAnsi="Times New Roman" w:cs="Times New Roman"/>
                <w:color w:val="000000"/>
                <w:sz w:val="24"/>
                <w:szCs w:val="24"/>
                <w:lang w:eastAsia="en-GB"/>
              </w:rPr>
              <w:t>se hinnaga elektrienergia pakkumine ja sihitud hinnatasemeks seejuures olema</w:t>
            </w:r>
            <w:r w:rsidRPr="005D775F">
              <w:rPr>
                <w:rFonts w:ascii="Times New Roman" w:eastAsia="Times New Roman" w:hAnsi="Times New Roman" w:cs="Times New Roman"/>
                <w:color w:val="000000"/>
                <w:sz w:val="24"/>
                <w:szCs w:val="24"/>
                <w:lang w:eastAsia="en-GB"/>
              </w:rPr>
              <w:t xml:space="preserve"> naaberriikide keskmisest madalam tase</w:t>
            </w:r>
            <w:r>
              <w:rPr>
                <w:rFonts w:ascii="Times New Roman" w:eastAsia="Times New Roman" w:hAnsi="Times New Roman" w:cs="Times New Roman"/>
                <w:color w:val="000000"/>
                <w:sz w:val="24"/>
                <w:szCs w:val="24"/>
                <w:lang w:eastAsia="en-GB"/>
              </w:rPr>
              <w:t xml:space="preserve"> toomise/tarbimise perioodil</w:t>
            </w:r>
            <w:r w:rsidRPr="005D775F">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p>
        </w:tc>
        <w:tc>
          <w:tcPr>
            <w:tcW w:w="3282" w:type="dxa"/>
          </w:tcPr>
          <w:p w14:paraId="093802C2" w14:textId="523A2A57" w:rsidR="00531BA7" w:rsidRPr="00797EDC" w:rsidRDefault="00A001DC"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Selgitame</w:t>
            </w:r>
          </w:p>
          <w:p w14:paraId="045061BB" w14:textId="77777777" w:rsidR="00AA5F9C" w:rsidRPr="00797EDC" w:rsidRDefault="00AA5F9C" w:rsidP="1FD60553">
            <w:pPr>
              <w:pStyle w:val="Loendilik"/>
              <w:ind w:left="-23"/>
              <w:jc w:val="both"/>
              <w:rPr>
                <w:rFonts w:ascii="Times New Roman" w:eastAsia="Calibri" w:hAnsi="Times New Roman" w:cs="Times New Roman"/>
                <w:b/>
                <w:bCs/>
                <w:sz w:val="24"/>
                <w:szCs w:val="24"/>
              </w:rPr>
            </w:pPr>
          </w:p>
          <w:p w14:paraId="39C5C244" w14:textId="73F5D992" w:rsidR="001B4BB6" w:rsidRPr="004C0AF3" w:rsidRDefault="00C620AE" w:rsidP="004C0AF3">
            <w:pPr>
              <w:jc w:val="both"/>
              <w:rPr>
                <w:rFonts w:ascii="Times" w:hAnsi="Times" w:cs="Times"/>
                <w:sz w:val="24"/>
                <w:szCs w:val="24"/>
              </w:rPr>
            </w:pPr>
            <w:r w:rsidRPr="004C0AF3">
              <w:rPr>
                <w:rStyle w:val="cf01"/>
                <w:rFonts w:ascii="Times" w:hAnsi="Times" w:cs="Times"/>
                <w:sz w:val="24"/>
                <w:szCs w:val="24"/>
              </w:rPr>
              <w:t xml:space="preserve">Võttes arvesse tänaseid elektrienergia hindasid ning prognoose tulevaste energiahindade osas on koostatud elektrienergia </w:t>
            </w:r>
            <w:r w:rsidRPr="004C0AF3">
              <w:rPr>
                <w:rStyle w:val="cf01"/>
                <w:rFonts w:ascii="Times" w:hAnsi="Times" w:cs="Times"/>
                <w:sz w:val="24"/>
                <w:szCs w:val="24"/>
              </w:rPr>
              <w:lastRenderedPageBreak/>
              <w:t>lõpphinna komponentide prognoos, mille kohaselt</w:t>
            </w:r>
            <w:r w:rsidR="00BD7776" w:rsidRPr="004C0AF3">
              <w:rPr>
                <w:rStyle w:val="cf01"/>
                <w:rFonts w:ascii="Times" w:hAnsi="Times" w:cs="Times"/>
                <w:sz w:val="24"/>
                <w:szCs w:val="24"/>
              </w:rPr>
              <w:t xml:space="preserve"> elektrienergia hind väheneks tu</w:t>
            </w:r>
            <w:r w:rsidR="000534AA" w:rsidRPr="004C0AF3">
              <w:rPr>
                <w:rStyle w:val="cf01"/>
                <w:rFonts w:ascii="Times" w:hAnsi="Times" w:cs="Times"/>
                <w:sz w:val="24"/>
                <w:szCs w:val="24"/>
              </w:rPr>
              <w:t>lenevalt</w:t>
            </w:r>
            <w:r w:rsidRPr="004C0AF3">
              <w:rPr>
                <w:rStyle w:val="cf01"/>
                <w:rFonts w:ascii="Times" w:hAnsi="Times" w:cs="Times"/>
                <w:sz w:val="24"/>
                <w:szCs w:val="24"/>
              </w:rPr>
              <w:t xml:space="preserve"> taastuve</w:t>
            </w:r>
            <w:r w:rsidR="000534AA" w:rsidRPr="004C0AF3">
              <w:rPr>
                <w:rStyle w:val="cf01"/>
                <w:rFonts w:ascii="Times" w:hAnsi="Times" w:cs="Times"/>
                <w:sz w:val="24"/>
                <w:szCs w:val="24"/>
              </w:rPr>
              <w:t>lektri suuremast mahust</w:t>
            </w:r>
            <w:r w:rsidR="00F51B95" w:rsidRPr="004C0AF3">
              <w:rPr>
                <w:rStyle w:val="cf01"/>
                <w:rFonts w:ascii="Times" w:hAnsi="Times" w:cs="Times"/>
                <w:sz w:val="24"/>
                <w:szCs w:val="24"/>
              </w:rPr>
              <w:t xml:space="preserve"> ning tulemusena </w:t>
            </w:r>
            <w:r w:rsidR="00905568" w:rsidRPr="004C0AF3">
              <w:rPr>
                <w:rStyle w:val="cf01"/>
                <w:rFonts w:ascii="Times" w:hAnsi="Times" w:cs="Times"/>
                <w:sz w:val="24"/>
                <w:szCs w:val="24"/>
              </w:rPr>
              <w:t>oleks võimalik ettevõtetel tarbida soodsamad elektrienergiat</w:t>
            </w:r>
            <w:r w:rsidR="00F21978" w:rsidRPr="004C0AF3">
              <w:rPr>
                <w:rStyle w:val="cf01"/>
                <w:rFonts w:ascii="Times" w:hAnsi="Times" w:cs="Times"/>
                <w:sz w:val="24"/>
                <w:szCs w:val="24"/>
              </w:rPr>
              <w:t xml:space="preserve">. </w:t>
            </w:r>
            <w:r w:rsidR="001B4BB6" w:rsidRPr="004C0AF3">
              <w:rPr>
                <w:rStyle w:val="cf01"/>
                <w:rFonts w:ascii="Times" w:hAnsi="Times" w:cs="Times"/>
                <w:sz w:val="24"/>
                <w:szCs w:val="24"/>
              </w:rPr>
              <w:t xml:space="preserve">Tulevase taskukohase elektrienergia kättesaadavus on Vabariigi Valitsuse tööprogrammi osa ning loomisel on </w:t>
            </w:r>
            <w:r w:rsidR="001B4BB6" w:rsidRPr="004C0AF3">
              <w:rPr>
                <w:rFonts w:ascii="Times" w:hAnsi="Times" w:cs="Times"/>
                <w:sz w:val="24"/>
                <w:szCs w:val="24"/>
              </w:rPr>
              <w:t>instrument elektrienergia otseostu lepingute sõlmimise soodustamiseks suurtarbijate ja tootjate vahel.</w:t>
            </w:r>
          </w:p>
          <w:p w14:paraId="4D325646" w14:textId="285C74AB" w:rsidR="00C620AE" w:rsidRPr="00797EDC" w:rsidRDefault="00A337FB" w:rsidP="00C620AE">
            <w:pPr>
              <w:pStyle w:val="Loendilik"/>
              <w:ind w:left="-23"/>
              <w:jc w:val="both"/>
              <w:rPr>
                <w:rFonts w:ascii="Times New Roman" w:eastAsia="Calibri" w:hAnsi="Times New Roman" w:cs="Times New Roman"/>
                <w:b/>
                <w:bCs/>
                <w:sz w:val="24"/>
                <w:szCs w:val="24"/>
              </w:rPr>
            </w:pPr>
            <w:r w:rsidRPr="00797EDC">
              <w:rPr>
                <w:rStyle w:val="cf01"/>
                <w:rFonts w:ascii="Times New Roman" w:hAnsi="Times New Roman" w:cs="Times New Roman"/>
                <w:sz w:val="24"/>
                <w:szCs w:val="24"/>
              </w:rPr>
              <w:t>Seejuures juhime tähelepanu, et taast</w:t>
            </w:r>
            <w:r w:rsidR="00905568" w:rsidRPr="00797EDC">
              <w:rPr>
                <w:rStyle w:val="cf01"/>
                <w:rFonts w:ascii="Times New Roman" w:hAnsi="Times New Roman" w:cs="Times New Roman"/>
                <w:sz w:val="24"/>
                <w:szCs w:val="24"/>
              </w:rPr>
              <w:t>u</w:t>
            </w:r>
            <w:r w:rsidRPr="00797EDC">
              <w:rPr>
                <w:rStyle w:val="cf01"/>
                <w:rFonts w:ascii="Times New Roman" w:hAnsi="Times New Roman" w:cs="Times New Roman"/>
                <w:sz w:val="24"/>
                <w:szCs w:val="24"/>
              </w:rPr>
              <w:t>ve</w:t>
            </w:r>
            <w:r w:rsidR="00C620AE" w:rsidRPr="00797EDC">
              <w:rPr>
                <w:rStyle w:val="cf01"/>
                <w:rFonts w:ascii="Times New Roman" w:hAnsi="Times New Roman" w:cs="Times New Roman"/>
                <w:sz w:val="24"/>
                <w:szCs w:val="24"/>
              </w:rPr>
              <w:t xml:space="preserve">nergiatasu </w:t>
            </w:r>
            <w:r w:rsidRPr="00797EDC">
              <w:rPr>
                <w:rStyle w:val="cf01"/>
                <w:rFonts w:ascii="Times New Roman" w:hAnsi="Times New Roman" w:cs="Times New Roman"/>
                <w:sz w:val="24"/>
                <w:szCs w:val="24"/>
              </w:rPr>
              <w:t xml:space="preserve">kasvu on kavas </w:t>
            </w:r>
            <w:r w:rsidR="00F51B95" w:rsidRPr="00797EDC">
              <w:rPr>
                <w:rStyle w:val="cf01"/>
                <w:rFonts w:ascii="Times New Roman" w:hAnsi="Times New Roman" w:cs="Times New Roman"/>
                <w:sz w:val="24"/>
                <w:szCs w:val="24"/>
              </w:rPr>
              <w:t xml:space="preserve">piirata, et </w:t>
            </w:r>
            <w:r w:rsidR="00C620AE" w:rsidRPr="00797EDC">
              <w:rPr>
                <w:rStyle w:val="cf01"/>
                <w:rFonts w:ascii="Times New Roman" w:hAnsi="Times New Roman" w:cs="Times New Roman"/>
                <w:sz w:val="24"/>
                <w:szCs w:val="24"/>
              </w:rPr>
              <w:t xml:space="preserve">tasu maksmine </w:t>
            </w:r>
            <w:r w:rsidR="00F51B95" w:rsidRPr="00797EDC">
              <w:rPr>
                <w:rStyle w:val="cf01"/>
                <w:rFonts w:ascii="Times New Roman" w:hAnsi="Times New Roman" w:cs="Times New Roman"/>
                <w:sz w:val="24"/>
                <w:szCs w:val="24"/>
              </w:rPr>
              <w:t xml:space="preserve">ei muutuks </w:t>
            </w:r>
            <w:r w:rsidR="00C620AE" w:rsidRPr="00797EDC">
              <w:rPr>
                <w:rStyle w:val="cf01"/>
                <w:rFonts w:ascii="Times New Roman" w:hAnsi="Times New Roman" w:cs="Times New Roman"/>
                <w:sz w:val="24"/>
                <w:szCs w:val="24"/>
              </w:rPr>
              <w:t>lõpptarbijale liialt koormavaks. Sellest tulenevalt peab skeemi eelarve olema piiratud.</w:t>
            </w:r>
          </w:p>
          <w:p w14:paraId="475FF7BF" w14:textId="7AB3DA6E" w:rsidR="00380358" w:rsidRPr="00797EDC" w:rsidRDefault="00C620AE" w:rsidP="003F51C5">
            <w:pPr>
              <w:pStyle w:val="pf0"/>
              <w:jc w:val="both"/>
            </w:pPr>
            <w:r w:rsidRPr="00797EDC">
              <w:rPr>
                <w:rStyle w:val="cf01"/>
                <w:rFonts w:ascii="Times New Roman" w:hAnsi="Times New Roman" w:cs="Times New Roman"/>
                <w:sz w:val="24"/>
                <w:szCs w:val="24"/>
              </w:rPr>
              <w:t xml:space="preserve">Et tagada skeemi kooskõla proportsionaalsuse põhimõttega, minimiseerida negatiivset mõju konkurentsile turul ja tagada, et skeemi oleks võimalik kohaldada TCTF-i all ning seega tagada taastuvenergia eesmärkide täitmine ning Eestile energiajulgeolek, on tarvis </w:t>
            </w:r>
            <w:r w:rsidRPr="00797EDC">
              <w:rPr>
                <w:rStyle w:val="cf01"/>
                <w:rFonts w:ascii="Times New Roman" w:hAnsi="Times New Roman" w:cs="Times New Roman"/>
                <w:sz w:val="24"/>
                <w:szCs w:val="24"/>
              </w:rPr>
              <w:lastRenderedPageBreak/>
              <w:t>arvestada piirtoetusega 65 €/MWh kohta.</w:t>
            </w:r>
          </w:p>
          <w:p w14:paraId="188BEBA6" w14:textId="1C8FA041" w:rsidR="001007D1" w:rsidRPr="00797EDC" w:rsidRDefault="00330D7B" w:rsidP="007A1F62">
            <w:pPr>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Seadusemuudatused peegeldavad Vabariigi Valitsuse 22.02.2024 otsust</w:t>
            </w:r>
            <w:r w:rsidR="007E11F8" w:rsidRPr="00797EDC">
              <w:rPr>
                <w:rFonts w:ascii="Times New Roman" w:eastAsia="Calibri" w:hAnsi="Times New Roman" w:cs="Times New Roman"/>
                <w:sz w:val="24"/>
                <w:szCs w:val="24"/>
              </w:rPr>
              <w:t xml:space="preserve"> kasvatada Eesti taastuvelektri pakkumise mahtu ning valmistuda </w:t>
            </w:r>
            <w:r w:rsidR="007329DB" w:rsidRPr="00797EDC">
              <w:rPr>
                <w:rFonts w:ascii="Times New Roman" w:eastAsia="Calibri" w:hAnsi="Times New Roman" w:cs="Times New Roman"/>
                <w:sz w:val="24"/>
                <w:szCs w:val="24"/>
              </w:rPr>
              <w:t xml:space="preserve">tööstuse, transpordi ja </w:t>
            </w:r>
            <w:r w:rsidR="00FF2694" w:rsidRPr="00797EDC">
              <w:rPr>
                <w:rFonts w:ascii="Times New Roman" w:eastAsia="Calibri" w:hAnsi="Times New Roman" w:cs="Times New Roman"/>
                <w:sz w:val="24"/>
                <w:szCs w:val="24"/>
              </w:rPr>
              <w:t>soojamajandusvaldkonnas</w:t>
            </w:r>
            <w:r w:rsidR="00ED3DF5" w:rsidRPr="00797EDC">
              <w:rPr>
                <w:rFonts w:ascii="Times New Roman" w:eastAsia="Calibri" w:hAnsi="Times New Roman" w:cs="Times New Roman"/>
                <w:sz w:val="24"/>
                <w:szCs w:val="24"/>
              </w:rPr>
              <w:t xml:space="preserve"> </w:t>
            </w:r>
            <w:r w:rsidR="00570088">
              <w:rPr>
                <w:rFonts w:ascii="Times New Roman" w:eastAsia="Calibri" w:hAnsi="Times New Roman" w:cs="Times New Roman"/>
                <w:sz w:val="24"/>
                <w:szCs w:val="24"/>
              </w:rPr>
              <w:t>hinnanguliseks</w:t>
            </w:r>
            <w:r w:rsidR="00570088" w:rsidRPr="00797EDC">
              <w:rPr>
                <w:rFonts w:ascii="Times New Roman" w:eastAsia="Calibri" w:hAnsi="Times New Roman" w:cs="Times New Roman"/>
                <w:sz w:val="24"/>
                <w:szCs w:val="24"/>
              </w:rPr>
              <w:t xml:space="preserve"> </w:t>
            </w:r>
            <w:r w:rsidR="007329DB" w:rsidRPr="00797EDC">
              <w:rPr>
                <w:rFonts w:ascii="Times New Roman" w:eastAsia="Calibri" w:hAnsi="Times New Roman" w:cs="Times New Roman"/>
                <w:sz w:val="24"/>
                <w:szCs w:val="24"/>
              </w:rPr>
              <w:t>tarbimise kasvuks</w:t>
            </w:r>
            <w:r w:rsidR="00ED3DF5" w:rsidRPr="00797EDC">
              <w:rPr>
                <w:rFonts w:ascii="Times New Roman" w:eastAsia="Calibri" w:hAnsi="Times New Roman" w:cs="Times New Roman"/>
                <w:sz w:val="24"/>
                <w:szCs w:val="24"/>
              </w:rPr>
              <w:t>.</w:t>
            </w:r>
          </w:p>
        </w:tc>
      </w:tr>
      <w:tr w:rsidR="002E5529" w:rsidRPr="005C0F32" w14:paraId="737780AD" w14:textId="77777777" w:rsidTr="3199B330">
        <w:trPr>
          <w:trHeight w:val="300"/>
        </w:trPr>
        <w:tc>
          <w:tcPr>
            <w:tcW w:w="10710" w:type="dxa"/>
          </w:tcPr>
          <w:p w14:paraId="75A90500" w14:textId="77777777" w:rsidR="002E5529" w:rsidRPr="00797EDC" w:rsidRDefault="002E5529" w:rsidP="002E5529">
            <w:pPr>
              <w:numPr>
                <w:ilvl w:val="0"/>
                <w:numId w:val="9"/>
              </w:numPr>
              <w:jc w:val="both"/>
              <w:textAlignment w:val="baseline"/>
              <w:rPr>
                <w:rFonts w:ascii="Times New Roman" w:eastAsia="Times New Roman" w:hAnsi="Times New Roman" w:cs="Times New Roman"/>
                <w:color w:val="000000"/>
                <w:sz w:val="24"/>
                <w:szCs w:val="24"/>
                <w:lang w:eastAsia="en-GB"/>
              </w:rPr>
            </w:pPr>
            <w:r w:rsidRPr="00797EDC">
              <w:rPr>
                <w:rFonts w:ascii="Times New Roman" w:eastAsia="Times New Roman" w:hAnsi="Times New Roman" w:cs="Times New Roman"/>
                <w:color w:val="000000"/>
                <w:sz w:val="24"/>
                <w:szCs w:val="24"/>
                <w:lang w:eastAsia="en-GB"/>
              </w:rPr>
              <w:lastRenderedPageBreak/>
              <w:t>Töötada koos samade sidusrühmadega välja konkurentsivõimelist stsenaariumit toetav energiapoliitika, mh:</w:t>
            </w:r>
          </w:p>
          <w:p w14:paraId="7031BF97" w14:textId="77777777" w:rsidR="002E5529" w:rsidRPr="00AF3133" w:rsidRDefault="002E5529" w:rsidP="002E5529">
            <w:pPr>
              <w:pStyle w:val="Loendilik"/>
              <w:numPr>
                <w:ilvl w:val="1"/>
                <w:numId w:val="9"/>
              </w:numPr>
              <w:jc w:val="both"/>
              <w:textAlignment w:val="baseline"/>
              <w:rPr>
                <w:rFonts w:ascii="Times New Roman" w:eastAsia="Times New Roman" w:hAnsi="Times New Roman" w:cs="Times New Roman"/>
                <w:color w:val="000000"/>
                <w:sz w:val="24"/>
                <w:szCs w:val="24"/>
                <w:lang w:eastAsia="en-GB"/>
              </w:rPr>
            </w:pPr>
            <w:r w:rsidRPr="00797EDC">
              <w:rPr>
                <w:rFonts w:ascii="Times New Roman" w:eastAsia="Times New Roman" w:hAnsi="Times New Roman" w:cs="Times New Roman"/>
                <w:color w:val="000000"/>
                <w:sz w:val="24"/>
                <w:szCs w:val="24"/>
                <w:lang w:eastAsia="en-GB"/>
              </w:rPr>
              <w:t>Taastuvenergia toetusskeem</w:t>
            </w:r>
            <w:r w:rsidRPr="00AF3133">
              <w:rPr>
                <w:rFonts w:ascii="Times New Roman" w:eastAsia="Times New Roman" w:hAnsi="Times New Roman" w:cs="Times New Roman"/>
                <w:color w:val="000000"/>
                <w:sz w:val="24"/>
                <w:szCs w:val="24"/>
                <w:lang w:eastAsia="en-GB"/>
              </w:rPr>
              <w:t>, mis võimaldaks säilitada konkurentsivõimelist hinnataset tarbijale ega kasvataks teiste tootjate investeeringute riske, ning võrdsustada ka teised turul regulaatori poolt kehtestatud tingimused (liitumistasud jms).</w:t>
            </w:r>
          </w:p>
          <w:p w14:paraId="3F9007F4" w14:textId="77777777" w:rsidR="002E5529" w:rsidRDefault="002E5529" w:rsidP="002E5529">
            <w:pPr>
              <w:numPr>
                <w:ilvl w:val="1"/>
                <w:numId w:val="9"/>
              </w:numPr>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w:t>
            </w:r>
            <w:r w:rsidRPr="008A1AF6">
              <w:rPr>
                <w:rFonts w:ascii="Times New Roman" w:eastAsia="Times New Roman" w:hAnsi="Times New Roman" w:cs="Times New Roman"/>
                <w:color w:val="000000"/>
                <w:sz w:val="24"/>
                <w:szCs w:val="24"/>
                <w:lang w:eastAsia="en-GB"/>
              </w:rPr>
              <w:t>agedusreservi han</w:t>
            </w:r>
            <w:r>
              <w:rPr>
                <w:rFonts w:ascii="Times New Roman" w:eastAsia="Times New Roman" w:hAnsi="Times New Roman" w:cs="Times New Roman"/>
                <w:color w:val="000000"/>
                <w:sz w:val="24"/>
                <w:szCs w:val="24"/>
                <w:lang w:eastAsia="en-GB"/>
              </w:rPr>
              <w:t>gete</w:t>
            </w:r>
            <w:r w:rsidRPr="008A1AF6">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ja võrguarenduse rahastus.</w:t>
            </w:r>
          </w:p>
          <w:p w14:paraId="42DE559E" w14:textId="53ED0669" w:rsidR="002E5529" w:rsidRPr="002E5529" w:rsidRDefault="002E5529" w:rsidP="002E5529">
            <w:pPr>
              <w:numPr>
                <w:ilvl w:val="1"/>
                <w:numId w:val="9"/>
              </w:numPr>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Elektri tootmisvõimsuste ja salvestuse kombinatsiooni loomiseks vajalikud tegevused, mis päriselt kataks kriitilise nõudluse puhkudel, kui tuul ei puhu, päike ei paista ja võrguühendused Soomega ei tööta. </w:t>
            </w:r>
          </w:p>
        </w:tc>
        <w:tc>
          <w:tcPr>
            <w:tcW w:w="3282" w:type="dxa"/>
          </w:tcPr>
          <w:p w14:paraId="3C287257" w14:textId="4867B42D" w:rsidR="00735C61" w:rsidRPr="00797EDC" w:rsidRDefault="00570088" w:rsidP="69ACF809">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Teadmiseks võetud</w:t>
            </w:r>
          </w:p>
          <w:p w14:paraId="7109013F" w14:textId="77777777" w:rsidR="00735C61" w:rsidRPr="00797EDC" w:rsidRDefault="00735C61" w:rsidP="69ACF809">
            <w:pPr>
              <w:pStyle w:val="Loendilik"/>
              <w:ind w:left="-23"/>
              <w:jc w:val="both"/>
              <w:rPr>
                <w:rFonts w:ascii="Times New Roman" w:eastAsia="Calibri" w:hAnsi="Times New Roman" w:cs="Times New Roman"/>
                <w:b/>
                <w:bCs/>
                <w:sz w:val="24"/>
                <w:szCs w:val="24"/>
              </w:rPr>
            </w:pPr>
          </w:p>
          <w:p w14:paraId="66876696" w14:textId="4D77FB83" w:rsidR="002E5529" w:rsidRPr="00797EDC" w:rsidRDefault="00735C61" w:rsidP="00686C10">
            <w:pPr>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Esitatud ettepanekud </w:t>
            </w:r>
            <w:r w:rsidR="00686C10" w:rsidRPr="00797EDC">
              <w:rPr>
                <w:rFonts w:ascii="Times New Roman" w:eastAsia="Calibri" w:hAnsi="Times New Roman" w:cs="Times New Roman"/>
                <w:sz w:val="24"/>
                <w:szCs w:val="24"/>
              </w:rPr>
              <w:t xml:space="preserve">ei kuulu käesoleva seaduse muudatuse eelnõusse. Tegemist on eraldiseisva töövooga, millega tegeletakse </w:t>
            </w:r>
            <w:r w:rsidR="00570088">
              <w:rPr>
                <w:rFonts w:ascii="Times New Roman" w:eastAsia="Calibri" w:hAnsi="Times New Roman" w:cs="Times New Roman"/>
                <w:sz w:val="24"/>
                <w:szCs w:val="24"/>
              </w:rPr>
              <w:t>eraldiseisvalt</w:t>
            </w:r>
            <w:r w:rsidR="00686C10" w:rsidRPr="00797EDC">
              <w:rPr>
                <w:rFonts w:ascii="Times New Roman" w:eastAsia="Calibri" w:hAnsi="Times New Roman" w:cs="Times New Roman"/>
                <w:sz w:val="24"/>
                <w:szCs w:val="24"/>
              </w:rPr>
              <w:t>.</w:t>
            </w:r>
          </w:p>
        </w:tc>
      </w:tr>
      <w:tr w:rsidR="002E5529" w:rsidRPr="005C0F32" w14:paraId="5367D8E3" w14:textId="77777777" w:rsidTr="3199B330">
        <w:trPr>
          <w:trHeight w:val="300"/>
        </w:trPr>
        <w:tc>
          <w:tcPr>
            <w:tcW w:w="10710" w:type="dxa"/>
          </w:tcPr>
          <w:p w14:paraId="7A461919" w14:textId="3BD0C619" w:rsidR="002E5529" w:rsidRPr="002E5529" w:rsidRDefault="002E5529" w:rsidP="002E5529">
            <w:pPr>
              <w:pStyle w:val="Loendilik"/>
              <w:numPr>
                <w:ilvl w:val="0"/>
                <w:numId w:val="9"/>
              </w:numPr>
              <w:jc w:val="both"/>
              <w:rPr>
                <w:rFonts w:ascii="Times New Roman" w:eastAsia="Times New Roman" w:hAnsi="Times New Roman" w:cs="Times New Roman"/>
                <w:color w:val="000000"/>
                <w:sz w:val="24"/>
                <w:szCs w:val="24"/>
                <w:lang w:eastAsia="en-GB"/>
              </w:rPr>
            </w:pPr>
            <w:r w:rsidRPr="002E5529">
              <w:rPr>
                <w:rFonts w:ascii="Times New Roman" w:eastAsia="Times New Roman" w:hAnsi="Times New Roman" w:cs="Times New Roman"/>
                <w:color w:val="000000"/>
                <w:sz w:val="24"/>
                <w:szCs w:val="24"/>
                <w:lang w:eastAsia="en-GB"/>
              </w:rPr>
              <w:t>Seni kuni ei ole selge sagedusreservi tasu pikaajaline Baltikumi-ülene harmoniseeritud lahendus, mis ei kahjusta Eesti tarnijaid ja tootjaid, teeme ettepaneku vabastada sagedusreservi tasust Eesti tootjad ja tarbijad. Palume kaaluda selle kulu katmist 2025. aastal süsteemihalduri poolt Eesti tarbijatelt juba kogutud ülekoormustasust, võimaldades selliselt see raha kõige efektiivsemalt suunata tagasi tarbijatele ning seda Eesti tootjate konkurentsivõimet kahjustamata.</w:t>
            </w:r>
          </w:p>
        </w:tc>
        <w:tc>
          <w:tcPr>
            <w:tcW w:w="3282" w:type="dxa"/>
          </w:tcPr>
          <w:p w14:paraId="6E3DC97E" w14:textId="4664523D" w:rsidR="002E5529" w:rsidRPr="00797EDC" w:rsidRDefault="00570088" w:rsidP="1FD60553">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Teadmiseks võetud</w:t>
            </w:r>
          </w:p>
        </w:tc>
      </w:tr>
      <w:tr w:rsidR="005B4EF1" w:rsidRPr="005C0F32" w14:paraId="4A384009" w14:textId="77777777" w:rsidTr="3199B330">
        <w:trPr>
          <w:trHeight w:val="300"/>
        </w:trPr>
        <w:tc>
          <w:tcPr>
            <w:tcW w:w="10710" w:type="dxa"/>
          </w:tcPr>
          <w:p w14:paraId="17D6483B" w14:textId="6EC7FF34" w:rsidR="005B4EF1" w:rsidRPr="00433285" w:rsidRDefault="00A530D2" w:rsidP="00AE07B3">
            <w:pPr>
              <w:jc w:val="both"/>
              <w:rPr>
                <w:rFonts w:ascii="Times New Roman" w:eastAsia="Times New Roman" w:hAnsi="Times New Roman" w:cs="Times New Roman"/>
                <w:color w:val="000000"/>
                <w:sz w:val="24"/>
                <w:szCs w:val="24"/>
                <w:lang w:eastAsia="en-GB"/>
              </w:rPr>
            </w:pPr>
            <w:r w:rsidRPr="00E44494">
              <w:rPr>
                <w:rFonts w:ascii="Times New Roman" w:eastAsia="Times New Roman" w:hAnsi="Times New Roman" w:cs="Times New Roman"/>
                <w:b/>
                <w:bCs/>
                <w:color w:val="000000"/>
                <w:sz w:val="24"/>
                <w:szCs w:val="24"/>
                <w:highlight w:val="cyan"/>
                <w:lang w:eastAsia="en-GB"/>
              </w:rPr>
              <w:t>Eesti Taastuvenergia Koda</w:t>
            </w:r>
          </w:p>
        </w:tc>
        <w:tc>
          <w:tcPr>
            <w:tcW w:w="3282" w:type="dxa"/>
          </w:tcPr>
          <w:p w14:paraId="129DC917" w14:textId="77777777" w:rsidR="005B4EF1" w:rsidRPr="00797EDC" w:rsidRDefault="005B4EF1" w:rsidP="1FD60553">
            <w:pPr>
              <w:pStyle w:val="Loendilik"/>
              <w:ind w:left="-23"/>
              <w:jc w:val="both"/>
              <w:rPr>
                <w:rFonts w:ascii="Times New Roman" w:eastAsia="Calibri" w:hAnsi="Times New Roman" w:cs="Times New Roman"/>
                <w:b/>
                <w:bCs/>
                <w:sz w:val="24"/>
                <w:szCs w:val="24"/>
              </w:rPr>
            </w:pPr>
          </w:p>
        </w:tc>
      </w:tr>
      <w:tr w:rsidR="005B4EF1" w:rsidRPr="005C0F32" w14:paraId="0DA1FEB9" w14:textId="77777777" w:rsidTr="3199B330">
        <w:trPr>
          <w:trHeight w:val="300"/>
        </w:trPr>
        <w:tc>
          <w:tcPr>
            <w:tcW w:w="10710" w:type="dxa"/>
          </w:tcPr>
          <w:p w14:paraId="479AF09F" w14:textId="77777777" w:rsidR="00231206" w:rsidRPr="00231206" w:rsidRDefault="00231206" w:rsidP="00231206">
            <w:pPr>
              <w:jc w:val="both"/>
              <w:rPr>
                <w:rFonts w:ascii="Times New Roman" w:eastAsia="Times New Roman" w:hAnsi="Times New Roman" w:cs="Times New Roman"/>
                <w:color w:val="000000"/>
                <w:sz w:val="24"/>
                <w:szCs w:val="24"/>
                <w:lang w:eastAsia="en-GB"/>
              </w:rPr>
            </w:pPr>
          </w:p>
          <w:p w14:paraId="1E0DDF67" w14:textId="2CCA2330" w:rsidR="00231206" w:rsidRPr="00231206" w:rsidRDefault="00231206" w:rsidP="00231206">
            <w:pPr>
              <w:jc w:val="both"/>
              <w:rPr>
                <w:rFonts w:ascii="Times New Roman" w:eastAsia="Times New Roman" w:hAnsi="Times New Roman" w:cs="Times New Roman"/>
                <w:color w:val="000000"/>
                <w:sz w:val="24"/>
                <w:szCs w:val="24"/>
                <w:lang w:eastAsia="en-GB"/>
              </w:rPr>
            </w:pPr>
            <w:r w:rsidRPr="00231206">
              <w:rPr>
                <w:rFonts w:ascii="Times New Roman" w:eastAsia="Times New Roman" w:hAnsi="Times New Roman" w:cs="Times New Roman"/>
                <w:color w:val="000000"/>
                <w:sz w:val="24"/>
                <w:szCs w:val="24"/>
                <w:lang w:eastAsia="en-GB"/>
              </w:rPr>
              <w:t xml:space="preserve"> Täname võimaluse eest anda tagasiside sellele olulisele muudatuseelnõule. Teeme eelnõusse järgmised ettepanekud. </w:t>
            </w:r>
          </w:p>
          <w:p w14:paraId="15402B84" w14:textId="77777777" w:rsidR="00231206" w:rsidRPr="00231206" w:rsidRDefault="00231206" w:rsidP="00231206">
            <w:pPr>
              <w:jc w:val="both"/>
              <w:rPr>
                <w:rFonts w:ascii="Times New Roman" w:eastAsia="Times New Roman" w:hAnsi="Times New Roman" w:cs="Times New Roman"/>
                <w:color w:val="000000"/>
                <w:sz w:val="24"/>
                <w:szCs w:val="24"/>
                <w:lang w:eastAsia="en-GB"/>
              </w:rPr>
            </w:pPr>
            <w:r w:rsidRPr="00231206">
              <w:rPr>
                <w:rFonts w:ascii="Times New Roman" w:eastAsia="Times New Roman" w:hAnsi="Times New Roman" w:cs="Times New Roman"/>
                <w:b/>
                <w:bCs/>
                <w:color w:val="000000"/>
                <w:sz w:val="24"/>
                <w:szCs w:val="24"/>
                <w:lang w:eastAsia="en-GB"/>
              </w:rPr>
              <w:t xml:space="preserve">Palume indekseerida meretuulepargi vähempakkumise pakkumuse hind </w:t>
            </w:r>
            <w:r w:rsidRPr="00231206">
              <w:rPr>
                <w:rFonts w:ascii="Times New Roman" w:eastAsia="Times New Roman" w:hAnsi="Times New Roman" w:cs="Times New Roman"/>
                <w:b/>
                <w:bCs/>
                <w:i/>
                <w:iCs/>
                <w:color w:val="000000"/>
                <w:sz w:val="24"/>
                <w:szCs w:val="24"/>
                <w:lang w:eastAsia="en-GB"/>
              </w:rPr>
              <w:t>(</w:t>
            </w:r>
            <w:proofErr w:type="spellStart"/>
            <w:r w:rsidRPr="00231206">
              <w:rPr>
                <w:rFonts w:ascii="Times New Roman" w:eastAsia="Times New Roman" w:hAnsi="Times New Roman" w:cs="Times New Roman"/>
                <w:b/>
                <w:bCs/>
                <w:i/>
                <w:iCs/>
                <w:color w:val="000000"/>
                <w:sz w:val="24"/>
                <w:szCs w:val="24"/>
                <w:lang w:eastAsia="en-GB"/>
              </w:rPr>
              <w:t>strike</w:t>
            </w:r>
            <w:proofErr w:type="spellEnd"/>
            <w:r w:rsidRPr="00231206">
              <w:rPr>
                <w:rFonts w:ascii="Times New Roman" w:eastAsia="Times New Roman" w:hAnsi="Times New Roman" w:cs="Times New Roman"/>
                <w:b/>
                <w:bCs/>
                <w:i/>
                <w:iCs/>
                <w:color w:val="000000"/>
                <w:sz w:val="24"/>
                <w:szCs w:val="24"/>
                <w:lang w:eastAsia="en-GB"/>
              </w:rPr>
              <w:t xml:space="preserve"> </w:t>
            </w:r>
            <w:proofErr w:type="spellStart"/>
            <w:r w:rsidRPr="00231206">
              <w:rPr>
                <w:rFonts w:ascii="Times New Roman" w:eastAsia="Times New Roman" w:hAnsi="Times New Roman" w:cs="Times New Roman"/>
                <w:b/>
                <w:bCs/>
                <w:i/>
                <w:iCs/>
                <w:color w:val="000000"/>
                <w:sz w:val="24"/>
                <w:szCs w:val="24"/>
                <w:lang w:eastAsia="en-GB"/>
              </w:rPr>
              <w:t>price</w:t>
            </w:r>
            <w:proofErr w:type="spellEnd"/>
            <w:r w:rsidRPr="00231206">
              <w:rPr>
                <w:rFonts w:ascii="Times New Roman" w:eastAsia="Times New Roman" w:hAnsi="Times New Roman" w:cs="Times New Roman"/>
                <w:b/>
                <w:bCs/>
                <w:i/>
                <w:iCs/>
                <w:color w:val="000000"/>
                <w:sz w:val="24"/>
                <w:szCs w:val="24"/>
                <w:lang w:eastAsia="en-GB"/>
              </w:rPr>
              <w:t xml:space="preserve">) </w:t>
            </w:r>
            <w:r w:rsidRPr="00231206">
              <w:rPr>
                <w:rFonts w:ascii="Times New Roman" w:eastAsia="Times New Roman" w:hAnsi="Times New Roman" w:cs="Times New Roman"/>
                <w:b/>
                <w:bCs/>
                <w:color w:val="000000"/>
                <w:sz w:val="24"/>
                <w:szCs w:val="24"/>
                <w:lang w:eastAsia="en-GB"/>
              </w:rPr>
              <w:t xml:space="preserve">hinnavahelepingu kehtivusperioodi lõpuni euroala tarbijahinnaindeksiga. </w:t>
            </w:r>
            <w:r w:rsidRPr="00231206">
              <w:rPr>
                <w:rFonts w:ascii="Times New Roman" w:eastAsia="Times New Roman" w:hAnsi="Times New Roman" w:cs="Times New Roman"/>
                <w:color w:val="000000"/>
                <w:sz w:val="24"/>
                <w:szCs w:val="24"/>
                <w:lang w:eastAsia="en-GB"/>
              </w:rPr>
              <w:t xml:space="preserve">Indekseerimine on tavapärane nii Euroopa vähempakkumiste praktikas kui ka teiselt poolt meretuulepargi sisendkulude (opereerimine ja hooldus) puhul. Indekseerimine tagaks investeeringukindluse, projekti </w:t>
            </w:r>
            <w:proofErr w:type="spellStart"/>
            <w:r w:rsidRPr="00231206">
              <w:rPr>
                <w:rFonts w:ascii="Times New Roman" w:eastAsia="Times New Roman" w:hAnsi="Times New Roman" w:cs="Times New Roman"/>
                <w:color w:val="000000"/>
                <w:sz w:val="24"/>
                <w:szCs w:val="24"/>
                <w:lang w:eastAsia="en-GB"/>
              </w:rPr>
              <w:t>finantseeritavuse</w:t>
            </w:r>
            <w:proofErr w:type="spellEnd"/>
            <w:r w:rsidRPr="00231206">
              <w:rPr>
                <w:rFonts w:ascii="Times New Roman" w:eastAsia="Times New Roman" w:hAnsi="Times New Roman" w:cs="Times New Roman"/>
                <w:color w:val="000000"/>
                <w:sz w:val="24"/>
                <w:szCs w:val="24"/>
                <w:lang w:eastAsia="en-GB"/>
              </w:rPr>
              <w:t xml:space="preserve"> ja realiseeritavuse ning vähendaks kokkuvõttes ka meetme maksumust. </w:t>
            </w:r>
          </w:p>
          <w:p w14:paraId="59D22A2A" w14:textId="77777777" w:rsidR="00231206" w:rsidRPr="00231206" w:rsidRDefault="00231206" w:rsidP="00231206">
            <w:pPr>
              <w:jc w:val="both"/>
              <w:rPr>
                <w:rFonts w:ascii="Times New Roman" w:eastAsia="Times New Roman" w:hAnsi="Times New Roman" w:cs="Times New Roman"/>
                <w:color w:val="000000"/>
                <w:sz w:val="24"/>
                <w:szCs w:val="24"/>
                <w:lang w:eastAsia="en-GB"/>
              </w:rPr>
            </w:pPr>
            <w:r w:rsidRPr="00231206">
              <w:rPr>
                <w:rFonts w:ascii="Times New Roman" w:eastAsia="Times New Roman" w:hAnsi="Times New Roman" w:cs="Times New Roman"/>
                <w:b/>
                <w:bCs/>
                <w:color w:val="000000"/>
                <w:sz w:val="24"/>
                <w:szCs w:val="24"/>
                <w:lang w:eastAsia="en-GB"/>
              </w:rPr>
              <w:t>Teeme ettepaneku alustada meretuulepargi vähempakkumise aastase toetatava elektrienergia koguse arvestust 1. aprillist</w:t>
            </w:r>
            <w:r w:rsidRPr="00231206">
              <w:rPr>
                <w:rFonts w:ascii="Times New Roman" w:eastAsia="Times New Roman" w:hAnsi="Times New Roman" w:cs="Times New Roman"/>
                <w:color w:val="000000"/>
                <w:sz w:val="24"/>
                <w:szCs w:val="24"/>
                <w:lang w:eastAsia="en-GB"/>
              </w:rPr>
              <w:t xml:space="preserve">, kuna madalama meetme kulu huvides on, et toetatava elektrienergia tootmise periood kattuks võimalikult suures mahus kõige madalamate elektrienergia turuhindadega perioodiga. </w:t>
            </w:r>
          </w:p>
          <w:p w14:paraId="6EA86479" w14:textId="61B4AFC4" w:rsidR="00231206" w:rsidRPr="00231206" w:rsidRDefault="00231206" w:rsidP="00231206">
            <w:pPr>
              <w:jc w:val="both"/>
              <w:rPr>
                <w:rFonts w:ascii="Times New Roman" w:eastAsia="Times New Roman" w:hAnsi="Times New Roman" w:cs="Times New Roman"/>
                <w:color w:val="000000"/>
                <w:sz w:val="24"/>
                <w:szCs w:val="24"/>
                <w:lang w:eastAsia="en-GB"/>
              </w:rPr>
            </w:pPr>
            <w:r w:rsidRPr="00231206">
              <w:rPr>
                <w:rFonts w:ascii="Times New Roman" w:eastAsia="Times New Roman" w:hAnsi="Times New Roman" w:cs="Times New Roman"/>
                <w:color w:val="000000"/>
                <w:sz w:val="24"/>
                <w:szCs w:val="24"/>
                <w:lang w:eastAsia="en-GB"/>
              </w:rPr>
              <w:t xml:space="preserve">Teeme ettepaneku korrigeerida regulatsiooni nii, et vähempakkumistel osalemisel ei tekiks arendajale lühikeses ajaaknas </w:t>
            </w:r>
            <w:proofErr w:type="spellStart"/>
            <w:r w:rsidRPr="00231206">
              <w:rPr>
                <w:rFonts w:ascii="Times New Roman" w:eastAsia="Times New Roman" w:hAnsi="Times New Roman" w:cs="Times New Roman"/>
                <w:color w:val="000000"/>
                <w:sz w:val="24"/>
                <w:szCs w:val="24"/>
                <w:lang w:eastAsia="en-GB"/>
              </w:rPr>
              <w:t>topeltkulu</w:t>
            </w:r>
            <w:proofErr w:type="spellEnd"/>
            <w:r w:rsidRPr="00231206">
              <w:rPr>
                <w:rFonts w:ascii="Times New Roman" w:eastAsia="Times New Roman" w:hAnsi="Times New Roman" w:cs="Times New Roman"/>
                <w:color w:val="000000"/>
                <w:sz w:val="24"/>
                <w:szCs w:val="24"/>
                <w:lang w:eastAsia="en-GB"/>
              </w:rPr>
              <w:t xml:space="preserve"> ja risk vähempakkumise tagatise ning fikseeritud liitumistasu näol. </w:t>
            </w:r>
            <w:r w:rsidRPr="00231206">
              <w:rPr>
                <w:rFonts w:ascii="Times New Roman" w:eastAsia="Times New Roman" w:hAnsi="Times New Roman" w:cs="Times New Roman"/>
                <w:b/>
                <w:bCs/>
                <w:color w:val="000000"/>
                <w:sz w:val="24"/>
                <w:szCs w:val="24"/>
                <w:lang w:eastAsia="en-GB"/>
              </w:rPr>
              <w:t xml:space="preserve">Võimaluseks on kas eemaldada eelnõust liitumislepingu sõlmimise kohustuslik tähtaeg, võimaldada fikseeritud liitumistasu osamaksetena tasumist või pikendada (vähemalt maismaatuulepargi puhul) liitumislepingu </w:t>
            </w:r>
            <w:r w:rsidRPr="00231206">
              <w:rPr>
                <w:rFonts w:ascii="Times New Roman" w:eastAsia="Times New Roman" w:hAnsi="Times New Roman" w:cs="Times New Roman"/>
                <w:b/>
                <w:bCs/>
                <w:color w:val="000000"/>
                <w:sz w:val="24"/>
                <w:szCs w:val="24"/>
                <w:lang w:eastAsia="en-GB"/>
              </w:rPr>
              <w:lastRenderedPageBreak/>
              <w:t xml:space="preserve">sõlmimise tähtaega 18 kuuni vähempakkumise tulemuste kinnitamisest arvates (praegu eelnõus 6 kuud). </w:t>
            </w:r>
          </w:p>
          <w:p w14:paraId="4D236048" w14:textId="6BC7EF68" w:rsidR="00231206" w:rsidRPr="00231206" w:rsidRDefault="00231206" w:rsidP="00231206">
            <w:pPr>
              <w:jc w:val="both"/>
              <w:rPr>
                <w:rFonts w:ascii="Times New Roman" w:eastAsia="Times New Roman" w:hAnsi="Times New Roman" w:cs="Times New Roman"/>
                <w:color w:val="000000"/>
                <w:sz w:val="24"/>
                <w:szCs w:val="24"/>
                <w:lang w:eastAsia="en-GB"/>
              </w:rPr>
            </w:pPr>
            <w:r w:rsidRPr="00231206">
              <w:rPr>
                <w:rFonts w:ascii="Times New Roman" w:eastAsia="Times New Roman" w:hAnsi="Times New Roman" w:cs="Times New Roman"/>
                <w:color w:val="000000"/>
                <w:sz w:val="24"/>
                <w:szCs w:val="24"/>
                <w:lang w:eastAsia="en-GB"/>
              </w:rPr>
              <w:t xml:space="preserve">Palume täpsustada eelnõud ja seletuskirja, et </w:t>
            </w:r>
            <w:r w:rsidRPr="00231206">
              <w:rPr>
                <w:rFonts w:ascii="Times New Roman" w:eastAsia="Times New Roman" w:hAnsi="Times New Roman" w:cs="Times New Roman"/>
                <w:b/>
                <w:bCs/>
                <w:color w:val="000000"/>
                <w:sz w:val="24"/>
                <w:szCs w:val="24"/>
                <w:lang w:eastAsia="en-GB"/>
              </w:rPr>
              <w:t>mitte välistada toetatava elektrienergia koguse alt otseliini kaudu tarnitavat ja/või elektriostulepingute (PPA)-de alusel müüdavat elektrienergia kogust</w:t>
            </w:r>
            <w:r w:rsidRPr="00231206">
              <w:rPr>
                <w:rFonts w:ascii="Times New Roman" w:eastAsia="Times New Roman" w:hAnsi="Times New Roman" w:cs="Times New Roman"/>
                <w:color w:val="000000"/>
                <w:sz w:val="24"/>
                <w:szCs w:val="24"/>
                <w:lang w:eastAsia="en-GB"/>
              </w:rPr>
              <w:t xml:space="preserve">, kuna riigiabireeglid ega </w:t>
            </w:r>
            <w:proofErr w:type="spellStart"/>
            <w:r w:rsidRPr="00231206">
              <w:rPr>
                <w:rFonts w:ascii="Times New Roman" w:eastAsia="Times New Roman" w:hAnsi="Times New Roman" w:cs="Times New Roman"/>
                <w:color w:val="000000"/>
                <w:sz w:val="24"/>
                <w:szCs w:val="24"/>
                <w:lang w:eastAsia="en-GB"/>
              </w:rPr>
              <w:t>ELTS-i</w:t>
            </w:r>
            <w:proofErr w:type="spellEnd"/>
            <w:r w:rsidRPr="00231206">
              <w:rPr>
                <w:rFonts w:ascii="Times New Roman" w:eastAsia="Times New Roman" w:hAnsi="Times New Roman" w:cs="Times New Roman"/>
                <w:color w:val="000000"/>
                <w:sz w:val="24"/>
                <w:szCs w:val="24"/>
                <w:lang w:eastAsia="en-GB"/>
              </w:rPr>
              <w:t xml:space="preserve"> loogika ei anna niisuguseks piiranguks ühtegi põhjust. </w:t>
            </w:r>
          </w:p>
          <w:p w14:paraId="61317A67" w14:textId="77777777" w:rsidR="00231206" w:rsidRPr="00231206" w:rsidRDefault="00231206" w:rsidP="00231206">
            <w:pPr>
              <w:jc w:val="both"/>
              <w:rPr>
                <w:rFonts w:ascii="Times New Roman" w:eastAsia="Times New Roman" w:hAnsi="Times New Roman" w:cs="Times New Roman"/>
                <w:color w:val="000000"/>
                <w:sz w:val="24"/>
                <w:szCs w:val="24"/>
                <w:lang w:eastAsia="en-GB"/>
              </w:rPr>
            </w:pPr>
            <w:r w:rsidRPr="00231206">
              <w:rPr>
                <w:rFonts w:ascii="Times New Roman" w:eastAsia="Times New Roman" w:hAnsi="Times New Roman" w:cs="Times New Roman"/>
                <w:b/>
                <w:bCs/>
                <w:color w:val="000000"/>
                <w:sz w:val="24"/>
                <w:szCs w:val="24"/>
                <w:lang w:eastAsia="en-GB"/>
              </w:rPr>
              <w:t xml:space="preserve">Palume lisada eelnõusse ja/või seletuskirja, et vähempakkumiste skeemi ja võimalike muude toetuste kumuleerumine on riigiabi reeglite piires lubatav. </w:t>
            </w:r>
            <w:r w:rsidRPr="00231206">
              <w:rPr>
                <w:rFonts w:ascii="Times New Roman" w:eastAsia="Times New Roman" w:hAnsi="Times New Roman" w:cs="Times New Roman"/>
                <w:color w:val="000000"/>
                <w:sz w:val="24"/>
                <w:szCs w:val="24"/>
                <w:lang w:eastAsia="en-GB"/>
              </w:rPr>
              <w:t xml:space="preserve">Muu hulgas peaks olema lubatav osaleda ka tootmisseadmega, mille projektile on saadud (näiteks Euroopa Liidu ühtekuuluvusfondist) (investeeringu)toetust ning vastavat toetust ei tuleks vähempakkumise toetuse määrast (proportsionaalselt) maha arvestada. </w:t>
            </w:r>
          </w:p>
          <w:p w14:paraId="18B1FFFD" w14:textId="77777777" w:rsidR="00CD15F6" w:rsidRPr="00CD15F6" w:rsidRDefault="00231206" w:rsidP="00CD15F6">
            <w:pPr>
              <w:jc w:val="both"/>
              <w:rPr>
                <w:rFonts w:ascii="Times New Roman" w:eastAsia="Times New Roman" w:hAnsi="Times New Roman" w:cs="Times New Roman"/>
                <w:color w:val="000000"/>
                <w:sz w:val="24"/>
                <w:szCs w:val="24"/>
                <w:lang w:eastAsia="en-GB"/>
              </w:rPr>
            </w:pPr>
            <w:r w:rsidRPr="00231206">
              <w:rPr>
                <w:rFonts w:ascii="Times New Roman" w:eastAsia="Times New Roman" w:hAnsi="Times New Roman" w:cs="Times New Roman"/>
                <w:color w:val="000000"/>
                <w:sz w:val="24"/>
                <w:szCs w:val="24"/>
                <w:lang w:eastAsia="en-GB"/>
              </w:rPr>
              <w:t xml:space="preserve">Arvestades (eriti meretuuleparkide) arendustsüklit, investeeringukulusid ning võimalikke esile tõusvaid riske ja takistusi </w:t>
            </w:r>
            <w:r w:rsidRPr="00231206">
              <w:rPr>
                <w:rFonts w:ascii="Times New Roman" w:eastAsia="Times New Roman" w:hAnsi="Times New Roman" w:cs="Times New Roman"/>
                <w:i/>
                <w:iCs/>
                <w:color w:val="000000"/>
                <w:sz w:val="24"/>
                <w:szCs w:val="24"/>
                <w:lang w:eastAsia="en-GB"/>
              </w:rPr>
              <w:t>(</w:t>
            </w:r>
            <w:r w:rsidRPr="00231206">
              <w:rPr>
                <w:rFonts w:ascii="Times New Roman" w:eastAsia="Times New Roman" w:hAnsi="Times New Roman" w:cs="Times New Roman"/>
                <w:color w:val="000000"/>
                <w:sz w:val="24"/>
                <w:szCs w:val="24"/>
                <w:lang w:eastAsia="en-GB"/>
              </w:rPr>
              <w:t>nii menetluste, finantseerimise, tarneahelate kui ehitamise osas</w:t>
            </w:r>
            <w:r w:rsidRPr="00231206">
              <w:rPr>
                <w:rFonts w:ascii="Times New Roman" w:eastAsia="Times New Roman" w:hAnsi="Times New Roman" w:cs="Times New Roman"/>
                <w:i/>
                <w:iCs/>
                <w:color w:val="000000"/>
                <w:sz w:val="24"/>
                <w:szCs w:val="24"/>
                <w:lang w:eastAsia="en-GB"/>
              </w:rPr>
              <w:t>)</w:t>
            </w:r>
            <w:r w:rsidRPr="00231206">
              <w:rPr>
                <w:rFonts w:ascii="Times New Roman" w:eastAsia="Times New Roman" w:hAnsi="Times New Roman" w:cs="Times New Roman"/>
                <w:color w:val="000000"/>
                <w:sz w:val="24"/>
                <w:szCs w:val="24"/>
                <w:lang w:eastAsia="en-GB"/>
              </w:rPr>
              <w:t xml:space="preserve">, </w:t>
            </w:r>
            <w:r w:rsidRPr="00231206">
              <w:rPr>
                <w:rFonts w:ascii="Times New Roman" w:eastAsia="Times New Roman" w:hAnsi="Times New Roman" w:cs="Times New Roman"/>
                <w:b/>
                <w:bCs/>
                <w:color w:val="000000"/>
                <w:sz w:val="24"/>
                <w:szCs w:val="24"/>
                <w:lang w:eastAsia="en-GB"/>
              </w:rPr>
              <w:t xml:space="preserve">palume kriitilise pilguga üle vaadata rakenduvad tähtajad ja reeglid, mis võivad päädida tagatise (kuni 40 miljonit eurot) kaotamise, toetuse vähendamise või lausa äravõtmisega, ning võimaldada neis paindlikkust. </w:t>
            </w:r>
            <w:r w:rsidRPr="00231206">
              <w:rPr>
                <w:rFonts w:ascii="Times New Roman" w:eastAsia="Times New Roman" w:hAnsi="Times New Roman" w:cs="Times New Roman"/>
                <w:color w:val="000000"/>
                <w:sz w:val="24"/>
                <w:szCs w:val="24"/>
                <w:lang w:eastAsia="en-GB"/>
              </w:rPr>
              <w:t>Näiteks kui tootmisega vajalikus mahus alustamine on viibinud, peaks olema võimalus</w:t>
            </w:r>
            <w:r w:rsidR="00CD15F6">
              <w:rPr>
                <w:rFonts w:ascii="Times New Roman" w:eastAsia="Times New Roman" w:hAnsi="Times New Roman" w:cs="Times New Roman"/>
                <w:color w:val="000000"/>
                <w:sz w:val="24"/>
                <w:szCs w:val="24"/>
                <w:lang w:eastAsia="en-GB"/>
              </w:rPr>
              <w:t xml:space="preserve"> </w:t>
            </w:r>
            <w:r w:rsidR="00CD15F6" w:rsidRPr="00CD15F6">
              <w:rPr>
                <w:rFonts w:ascii="Times New Roman" w:eastAsia="Times New Roman" w:hAnsi="Times New Roman" w:cs="Times New Roman"/>
                <w:color w:val="000000"/>
                <w:sz w:val="24"/>
                <w:szCs w:val="24"/>
                <w:lang w:eastAsia="en-GB"/>
              </w:rPr>
              <w:t xml:space="preserve">täiendava tähtaja andmiseks ilma lisatagajärgedeta. Nii vähendataks ka projektide riske ning johtuvalt ka </w:t>
            </w:r>
            <w:proofErr w:type="spellStart"/>
            <w:r w:rsidR="00CD15F6" w:rsidRPr="00CD15F6">
              <w:rPr>
                <w:rFonts w:ascii="Times New Roman" w:eastAsia="Times New Roman" w:hAnsi="Times New Roman" w:cs="Times New Roman"/>
                <w:i/>
                <w:iCs/>
                <w:color w:val="000000"/>
                <w:sz w:val="24"/>
                <w:szCs w:val="24"/>
                <w:lang w:eastAsia="en-GB"/>
              </w:rPr>
              <w:t>strike</w:t>
            </w:r>
            <w:proofErr w:type="spellEnd"/>
            <w:r w:rsidR="00CD15F6" w:rsidRPr="00CD15F6">
              <w:rPr>
                <w:rFonts w:ascii="Times New Roman" w:eastAsia="Times New Roman" w:hAnsi="Times New Roman" w:cs="Times New Roman"/>
                <w:i/>
                <w:iCs/>
                <w:color w:val="000000"/>
                <w:sz w:val="24"/>
                <w:szCs w:val="24"/>
                <w:lang w:eastAsia="en-GB"/>
              </w:rPr>
              <w:t xml:space="preserve"> </w:t>
            </w:r>
            <w:proofErr w:type="spellStart"/>
            <w:r w:rsidR="00CD15F6" w:rsidRPr="00CD15F6">
              <w:rPr>
                <w:rFonts w:ascii="Times New Roman" w:eastAsia="Times New Roman" w:hAnsi="Times New Roman" w:cs="Times New Roman"/>
                <w:i/>
                <w:iCs/>
                <w:color w:val="000000"/>
                <w:sz w:val="24"/>
                <w:szCs w:val="24"/>
                <w:lang w:eastAsia="en-GB"/>
              </w:rPr>
              <w:t>price</w:t>
            </w:r>
            <w:r w:rsidR="00CD15F6" w:rsidRPr="00CD15F6">
              <w:rPr>
                <w:rFonts w:ascii="Times New Roman" w:eastAsia="Times New Roman" w:hAnsi="Times New Roman" w:cs="Times New Roman"/>
                <w:color w:val="000000"/>
                <w:sz w:val="24"/>
                <w:szCs w:val="24"/>
                <w:lang w:eastAsia="en-GB"/>
              </w:rPr>
              <w:t>’i</w:t>
            </w:r>
            <w:proofErr w:type="spellEnd"/>
            <w:r w:rsidR="00CD15F6" w:rsidRPr="00CD15F6">
              <w:rPr>
                <w:rFonts w:ascii="Times New Roman" w:eastAsia="Times New Roman" w:hAnsi="Times New Roman" w:cs="Times New Roman"/>
                <w:color w:val="000000"/>
                <w:sz w:val="24"/>
                <w:szCs w:val="24"/>
                <w:lang w:eastAsia="en-GB"/>
              </w:rPr>
              <w:t xml:space="preserve"> ja meetme kogukulu. </w:t>
            </w:r>
          </w:p>
          <w:p w14:paraId="7FB647F3" w14:textId="77777777" w:rsidR="00CD15F6" w:rsidRPr="00CD15F6" w:rsidRDefault="00CD15F6" w:rsidP="00CD15F6">
            <w:pPr>
              <w:jc w:val="both"/>
              <w:rPr>
                <w:rFonts w:ascii="Times New Roman" w:eastAsia="Times New Roman" w:hAnsi="Times New Roman" w:cs="Times New Roman"/>
                <w:color w:val="000000"/>
                <w:sz w:val="24"/>
                <w:szCs w:val="24"/>
                <w:lang w:eastAsia="en-GB"/>
              </w:rPr>
            </w:pPr>
            <w:r w:rsidRPr="00CD15F6">
              <w:rPr>
                <w:rFonts w:ascii="Times New Roman" w:eastAsia="Times New Roman" w:hAnsi="Times New Roman" w:cs="Times New Roman"/>
                <w:b/>
                <w:bCs/>
                <w:color w:val="000000"/>
                <w:sz w:val="24"/>
                <w:szCs w:val="24"/>
                <w:lang w:eastAsia="en-GB"/>
              </w:rPr>
              <w:t xml:space="preserve">Teeme ettepaneku muuta eelnõud nii, et meretuulepargi vähempakkumisel esitatav tasakaalustamisteenuse kogus peab olema kuni 100 MWh (mitte 20 MW kauplemisperioodi kohta nagu eelnõus) ning ühtlasi täpsustada, et tasakaalustamisteenust võib pakkuda nii vähempakkumise pakkuja ise kui ka sõlmida mõne kolmanda isikuga vastava lepingu. </w:t>
            </w:r>
          </w:p>
          <w:p w14:paraId="19A82325" w14:textId="0EF33A94" w:rsidR="005B4EF1" w:rsidRPr="00433285" w:rsidRDefault="00CD15F6" w:rsidP="00AE07B3">
            <w:pPr>
              <w:jc w:val="both"/>
              <w:rPr>
                <w:rFonts w:ascii="Times New Roman" w:eastAsia="Times New Roman" w:hAnsi="Times New Roman" w:cs="Times New Roman"/>
                <w:color w:val="000000"/>
                <w:sz w:val="24"/>
                <w:szCs w:val="24"/>
                <w:lang w:eastAsia="en-GB"/>
              </w:rPr>
            </w:pPr>
            <w:r w:rsidRPr="00CD15F6">
              <w:rPr>
                <w:rFonts w:ascii="Times New Roman" w:eastAsia="Times New Roman" w:hAnsi="Times New Roman" w:cs="Times New Roman"/>
                <w:color w:val="000000"/>
                <w:sz w:val="24"/>
                <w:szCs w:val="24"/>
                <w:lang w:eastAsia="en-GB"/>
              </w:rPr>
              <w:t xml:space="preserve">Ehkki eelnõu endaga meretuulepargi vähempakkumise mahtu õiguslikult ei fikseerita, </w:t>
            </w:r>
            <w:r w:rsidRPr="00CD15F6">
              <w:rPr>
                <w:rFonts w:ascii="Times New Roman" w:eastAsia="Times New Roman" w:hAnsi="Times New Roman" w:cs="Times New Roman"/>
                <w:b/>
                <w:bCs/>
                <w:color w:val="000000"/>
                <w:sz w:val="24"/>
                <w:szCs w:val="24"/>
                <w:lang w:eastAsia="en-GB"/>
              </w:rPr>
              <w:t xml:space="preserve">teeme siiski ettepaneku mahtu tõsta 3 kuni 4 </w:t>
            </w:r>
            <w:proofErr w:type="spellStart"/>
            <w:r w:rsidRPr="00CD15F6">
              <w:rPr>
                <w:rFonts w:ascii="Times New Roman" w:eastAsia="Times New Roman" w:hAnsi="Times New Roman" w:cs="Times New Roman"/>
                <w:b/>
                <w:bCs/>
                <w:color w:val="000000"/>
                <w:sz w:val="24"/>
                <w:szCs w:val="24"/>
                <w:lang w:eastAsia="en-GB"/>
              </w:rPr>
              <w:t>TWh-ni</w:t>
            </w:r>
            <w:proofErr w:type="spellEnd"/>
            <w:r w:rsidRPr="00CD15F6">
              <w:rPr>
                <w:rFonts w:ascii="Times New Roman" w:eastAsia="Times New Roman" w:hAnsi="Times New Roman" w:cs="Times New Roman"/>
                <w:b/>
                <w:bCs/>
                <w:color w:val="000000"/>
                <w:sz w:val="24"/>
                <w:szCs w:val="24"/>
                <w:lang w:eastAsia="en-GB"/>
              </w:rPr>
              <w:t xml:space="preserve"> aastas. </w:t>
            </w:r>
            <w:r w:rsidRPr="00CD15F6">
              <w:rPr>
                <w:rFonts w:ascii="Times New Roman" w:eastAsia="Times New Roman" w:hAnsi="Times New Roman" w:cs="Times New Roman"/>
                <w:color w:val="000000"/>
                <w:sz w:val="24"/>
                <w:szCs w:val="24"/>
                <w:lang w:eastAsia="en-GB"/>
              </w:rPr>
              <w:t xml:space="preserve">Arvestades elektritarbimise kasvu, ei ole põhjendatud eeldada, et pärast 2030. aastat piisab 100% taastuvelektri eesmärgi hoidmiseks vaid 2 </w:t>
            </w:r>
            <w:proofErr w:type="spellStart"/>
            <w:r w:rsidRPr="00CD15F6">
              <w:rPr>
                <w:rFonts w:ascii="Times New Roman" w:eastAsia="Times New Roman" w:hAnsi="Times New Roman" w:cs="Times New Roman"/>
                <w:color w:val="000000"/>
                <w:sz w:val="24"/>
                <w:szCs w:val="24"/>
                <w:lang w:eastAsia="en-GB"/>
              </w:rPr>
              <w:t>TWh</w:t>
            </w:r>
            <w:proofErr w:type="spellEnd"/>
            <w:r w:rsidRPr="00CD15F6">
              <w:rPr>
                <w:rFonts w:ascii="Times New Roman" w:eastAsia="Times New Roman" w:hAnsi="Times New Roman" w:cs="Times New Roman"/>
                <w:color w:val="000000"/>
                <w:sz w:val="24"/>
                <w:szCs w:val="24"/>
                <w:lang w:eastAsia="en-GB"/>
              </w:rPr>
              <w:t xml:space="preserve"> kogusest meretuuleenergiast, aga praegu tehtavat prognoosiviga ei oleks hiljem enam aega korrigeerida. Samas ei ole meie andmetel ka tõenäoline, et keegi 2 </w:t>
            </w:r>
            <w:proofErr w:type="spellStart"/>
            <w:r w:rsidRPr="00CD15F6">
              <w:rPr>
                <w:rFonts w:ascii="Times New Roman" w:eastAsia="Times New Roman" w:hAnsi="Times New Roman" w:cs="Times New Roman"/>
                <w:color w:val="000000"/>
                <w:sz w:val="24"/>
                <w:szCs w:val="24"/>
                <w:lang w:eastAsia="en-GB"/>
              </w:rPr>
              <w:t>TWh</w:t>
            </w:r>
            <w:proofErr w:type="spellEnd"/>
            <w:r w:rsidRPr="00CD15F6">
              <w:rPr>
                <w:rFonts w:ascii="Times New Roman" w:eastAsia="Times New Roman" w:hAnsi="Times New Roman" w:cs="Times New Roman"/>
                <w:color w:val="000000"/>
                <w:sz w:val="24"/>
                <w:szCs w:val="24"/>
                <w:lang w:eastAsia="en-GB"/>
              </w:rPr>
              <w:t xml:space="preserve"> vähempakkumise skeemi vastu 4 </w:t>
            </w:r>
            <w:proofErr w:type="spellStart"/>
            <w:r w:rsidRPr="00CD15F6">
              <w:rPr>
                <w:rFonts w:ascii="Times New Roman" w:eastAsia="Times New Roman" w:hAnsi="Times New Roman" w:cs="Times New Roman"/>
                <w:color w:val="000000"/>
                <w:sz w:val="24"/>
                <w:szCs w:val="24"/>
                <w:lang w:eastAsia="en-GB"/>
              </w:rPr>
              <w:t>TWh</w:t>
            </w:r>
            <w:proofErr w:type="spellEnd"/>
            <w:r w:rsidRPr="00CD15F6">
              <w:rPr>
                <w:rFonts w:ascii="Times New Roman" w:eastAsia="Times New Roman" w:hAnsi="Times New Roman" w:cs="Times New Roman"/>
                <w:color w:val="000000"/>
                <w:sz w:val="24"/>
                <w:szCs w:val="24"/>
                <w:lang w:eastAsia="en-GB"/>
              </w:rPr>
              <w:t xml:space="preserve"> toodanguga meretuulepargi rajab. Väiksem meretuulepark on aga kõrgema hinnaga, halvemini finantseeritav ja sellisel juhul on ka meetme kulu ühiku kohta kõrgem. Juhime tähelepanu ka sellele, et meretuuleenergia vähempakkumise kulu 65 miljonit eurot aastas 1 </w:t>
            </w:r>
            <w:proofErr w:type="spellStart"/>
            <w:r w:rsidRPr="00CD15F6">
              <w:rPr>
                <w:rFonts w:ascii="Times New Roman" w:eastAsia="Times New Roman" w:hAnsi="Times New Roman" w:cs="Times New Roman"/>
                <w:color w:val="000000"/>
                <w:sz w:val="24"/>
                <w:szCs w:val="24"/>
                <w:lang w:eastAsia="en-GB"/>
              </w:rPr>
              <w:t>TWh</w:t>
            </w:r>
            <w:proofErr w:type="spellEnd"/>
            <w:r w:rsidRPr="00CD15F6">
              <w:rPr>
                <w:rFonts w:ascii="Times New Roman" w:eastAsia="Times New Roman" w:hAnsi="Times New Roman" w:cs="Times New Roman"/>
                <w:color w:val="000000"/>
                <w:sz w:val="24"/>
                <w:szCs w:val="24"/>
                <w:lang w:eastAsia="en-GB"/>
              </w:rPr>
              <w:t xml:space="preserve"> kohta on meie hinnangul ülehinnatud. Niisugune kulu oleks teoreetiline maksumus pidevalt nullilähedaste elektrihindade korral, aga tegelik kulu on meie hinnangul oluliselt madalam ja seda näitavad ka teiste riikide arvutused.</w:t>
            </w:r>
          </w:p>
        </w:tc>
        <w:tc>
          <w:tcPr>
            <w:tcW w:w="3282" w:type="dxa"/>
          </w:tcPr>
          <w:p w14:paraId="3C2465EC" w14:textId="5F5B6943" w:rsidR="005B4EF1" w:rsidRPr="00797EDC" w:rsidRDefault="00803D48"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Mittearvestatud</w:t>
            </w:r>
          </w:p>
          <w:p w14:paraId="536AB81F" w14:textId="0420D511" w:rsidR="69ACF809" w:rsidRPr="00797EDC" w:rsidRDefault="69ACF809" w:rsidP="69ACF809">
            <w:pPr>
              <w:pStyle w:val="Loendilik"/>
              <w:ind w:left="-23"/>
              <w:jc w:val="both"/>
              <w:rPr>
                <w:rFonts w:ascii="Times New Roman" w:eastAsia="Calibri" w:hAnsi="Times New Roman" w:cs="Times New Roman"/>
                <w:b/>
                <w:bCs/>
                <w:sz w:val="24"/>
                <w:szCs w:val="24"/>
              </w:rPr>
            </w:pPr>
          </w:p>
          <w:p w14:paraId="45CF57B1" w14:textId="6FCBABB0" w:rsidR="00093CEE" w:rsidRPr="00797EDC" w:rsidRDefault="00093CEE" w:rsidP="1FD6055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Eelnõu koostamisel on kaalutud ka indekseerimise kasutuselevõttu, kuid arvestades eelnõu kiireloomulisust ja eelnõu muudatusega seonduvat töömahtu ei osutunud võimalikuks indekseerimise põhimõtteid seadusesse kirjutada.</w:t>
            </w:r>
            <w:r w:rsidR="00E00286" w:rsidRPr="00797EDC">
              <w:rPr>
                <w:rFonts w:ascii="Times New Roman" w:eastAsia="Calibri" w:hAnsi="Times New Roman" w:cs="Times New Roman"/>
                <w:sz w:val="24"/>
                <w:szCs w:val="24"/>
              </w:rPr>
              <w:t xml:space="preserve"> Täitmishinna indekseerimine muudab vähempakkumise meetme kulu projekti eluajal raskesti prognoositavaks</w:t>
            </w:r>
            <w:r w:rsidR="005D2A3D" w:rsidRPr="00797EDC">
              <w:rPr>
                <w:rFonts w:ascii="Times New Roman" w:eastAsia="Calibri" w:hAnsi="Times New Roman" w:cs="Times New Roman"/>
                <w:sz w:val="24"/>
                <w:szCs w:val="24"/>
              </w:rPr>
              <w:t xml:space="preserve"> ning hangitava </w:t>
            </w:r>
            <w:r w:rsidR="005D2A3D" w:rsidRPr="00797EDC">
              <w:rPr>
                <w:rFonts w:ascii="Times New Roman" w:eastAsia="Calibri" w:hAnsi="Times New Roman" w:cs="Times New Roman"/>
                <w:sz w:val="24"/>
                <w:szCs w:val="24"/>
              </w:rPr>
              <w:lastRenderedPageBreak/>
              <w:t>mahu suurendamine suurendaks meetme maksumust</w:t>
            </w:r>
            <w:r w:rsidR="00927F43" w:rsidRPr="00797EDC">
              <w:rPr>
                <w:rFonts w:ascii="Times New Roman" w:eastAsia="Calibri" w:hAnsi="Times New Roman" w:cs="Times New Roman"/>
                <w:sz w:val="24"/>
                <w:szCs w:val="24"/>
              </w:rPr>
              <w:t xml:space="preserve"> juhul kui muid meetme parameetreid ei kohandataks, näiteks toetuskoridori kitsendamise teel.</w:t>
            </w:r>
            <w:r w:rsidR="00E00286" w:rsidRPr="00797EDC">
              <w:rPr>
                <w:rFonts w:ascii="Times New Roman" w:eastAsia="Calibri" w:hAnsi="Times New Roman" w:cs="Times New Roman"/>
                <w:sz w:val="24"/>
                <w:szCs w:val="24"/>
              </w:rPr>
              <w:t xml:space="preserve"> </w:t>
            </w:r>
            <w:r w:rsidRPr="00797EDC">
              <w:rPr>
                <w:rFonts w:ascii="Times New Roman" w:eastAsia="Calibri" w:hAnsi="Times New Roman" w:cs="Times New Roman"/>
                <w:sz w:val="24"/>
                <w:szCs w:val="24"/>
              </w:rPr>
              <w:t xml:space="preserve"> Lisaks on leitud, et inflatsiooni vastu indekseerimine ei vähenda ettevõtjate inflatsiooniriski, kuna see on eeldatavalt ettevõtjate äriplaani juba sisse kirjutatud.</w:t>
            </w:r>
            <w:r w:rsidR="00FA2745">
              <w:rPr>
                <w:rFonts w:ascii="Times New Roman" w:eastAsia="Calibri" w:hAnsi="Times New Roman" w:cs="Times New Roman"/>
                <w:sz w:val="24"/>
                <w:szCs w:val="24"/>
              </w:rPr>
              <w:t xml:space="preserve"> Tagatiste korra muutmist eelnõu ette ei näe.</w:t>
            </w:r>
          </w:p>
          <w:p w14:paraId="1355D9BA" w14:textId="7B7B5741" w:rsidR="00093CEE" w:rsidRPr="00797EDC" w:rsidRDefault="005A27CB" w:rsidP="1FD6055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 </w:t>
            </w:r>
          </w:p>
          <w:p w14:paraId="12F2501B" w14:textId="4738192E" w:rsidR="00093CEE" w:rsidRPr="00797EDC" w:rsidRDefault="00093CEE" w:rsidP="1FD6055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M</w:t>
            </w:r>
            <w:r w:rsidR="00E47C34" w:rsidRPr="00797EDC">
              <w:rPr>
                <w:rFonts w:ascii="Times New Roman" w:eastAsia="Calibri" w:hAnsi="Times New Roman" w:cs="Times New Roman"/>
                <w:sz w:val="24"/>
                <w:szCs w:val="24"/>
              </w:rPr>
              <w:t>eenutame, et m</w:t>
            </w:r>
            <w:r w:rsidRPr="00797EDC">
              <w:rPr>
                <w:rFonts w:ascii="Times New Roman" w:eastAsia="Calibri" w:hAnsi="Times New Roman" w:cs="Times New Roman"/>
                <w:sz w:val="24"/>
                <w:szCs w:val="24"/>
              </w:rPr>
              <w:t>eede on kavandatud sedasi, et toetust jätkub igaks kauplemisperioodi hetkeks aastas, kuid riigi jaoks on oluline projektide valmimine enne kalendriaasta lõppu ning intensiivse kütteperioodi algust.</w:t>
            </w:r>
          </w:p>
          <w:p w14:paraId="609BC36A" w14:textId="77777777" w:rsidR="00093CEE" w:rsidRPr="00797EDC" w:rsidRDefault="00093CEE" w:rsidP="1FD60553">
            <w:pPr>
              <w:pStyle w:val="Loendilik"/>
              <w:ind w:left="-23"/>
              <w:jc w:val="both"/>
              <w:rPr>
                <w:rFonts w:ascii="Times New Roman" w:eastAsia="Calibri" w:hAnsi="Times New Roman" w:cs="Times New Roman"/>
                <w:sz w:val="24"/>
                <w:szCs w:val="24"/>
              </w:rPr>
            </w:pPr>
          </w:p>
          <w:p w14:paraId="12C3124F" w14:textId="04249AAC" w:rsidR="00951A7C" w:rsidRPr="00797EDC" w:rsidRDefault="00E47C34" w:rsidP="1FD6055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Sedastame, et l</w:t>
            </w:r>
            <w:r w:rsidR="00951A7C" w:rsidRPr="00797EDC">
              <w:rPr>
                <w:rFonts w:ascii="Times New Roman" w:eastAsia="Calibri" w:hAnsi="Times New Roman" w:cs="Times New Roman"/>
                <w:sz w:val="24"/>
                <w:szCs w:val="24"/>
              </w:rPr>
              <w:t>iitumislepingu õigeaegne sõlmimine annab kõigile osapooltele kindluse võrgu õigeaegsest valmimisest.</w:t>
            </w:r>
          </w:p>
          <w:p w14:paraId="47B5B3F2" w14:textId="77777777" w:rsidR="00951A7C" w:rsidRPr="00797EDC" w:rsidRDefault="00951A7C" w:rsidP="1FD60553">
            <w:pPr>
              <w:pStyle w:val="Loendilik"/>
              <w:ind w:left="-23"/>
              <w:jc w:val="both"/>
              <w:rPr>
                <w:rFonts w:ascii="Times New Roman" w:eastAsia="Calibri" w:hAnsi="Times New Roman" w:cs="Times New Roman"/>
                <w:sz w:val="24"/>
                <w:szCs w:val="24"/>
              </w:rPr>
            </w:pPr>
          </w:p>
          <w:p w14:paraId="65EAEC6F" w14:textId="764310DC" w:rsidR="00495700" w:rsidRPr="006514B5" w:rsidRDefault="009929A6" w:rsidP="00495700">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Märgime, </w:t>
            </w:r>
            <w:r w:rsidR="00495700">
              <w:rPr>
                <w:rFonts w:ascii="Times New Roman" w:eastAsia="Calibri" w:hAnsi="Times New Roman" w:cs="Times New Roman"/>
                <w:sz w:val="24"/>
                <w:szCs w:val="24"/>
              </w:rPr>
              <w:t xml:space="preserve">et toetust arvestatakse uue taastuvelektri tootmisrajatise poolt Eesti võrku antava elektrienergia hulgale </w:t>
            </w:r>
            <w:r w:rsidR="00E7726E" w:rsidRPr="006514B5">
              <w:rPr>
                <w:rFonts w:ascii="Times New Roman" w:eastAsia="Calibri" w:hAnsi="Times New Roman" w:cs="Times New Roman"/>
                <w:sz w:val="24"/>
                <w:szCs w:val="24"/>
              </w:rPr>
              <w:t xml:space="preserve">ilma seejuures välistamata elektrienergia </w:t>
            </w:r>
            <w:r w:rsidR="00E7726E">
              <w:rPr>
                <w:rFonts w:ascii="Times New Roman" w:eastAsia="Calibri" w:hAnsi="Times New Roman" w:cs="Times New Roman"/>
                <w:sz w:val="24"/>
                <w:szCs w:val="24"/>
              </w:rPr>
              <w:t xml:space="preserve">edastamise </w:t>
            </w:r>
            <w:r w:rsidR="00E7726E" w:rsidRPr="006514B5">
              <w:rPr>
                <w:rFonts w:ascii="Times New Roman" w:eastAsia="Calibri" w:hAnsi="Times New Roman" w:cs="Times New Roman"/>
                <w:sz w:val="24"/>
                <w:szCs w:val="24"/>
              </w:rPr>
              <w:t xml:space="preserve">otseostulepingute kaudu määratud tarnetena või ELTS </w:t>
            </w:r>
            <w:r w:rsidR="00E7726E" w:rsidRPr="006514B5">
              <w:rPr>
                <w:rFonts w:ascii="Times New Roman" w:hAnsi="Times New Roman" w:cs="Times New Roman"/>
                <w:sz w:val="24"/>
                <w:szCs w:val="24"/>
              </w:rPr>
              <w:lastRenderedPageBreak/>
              <w:t>paragrahvi 61 lõike 1 punktis 1 sätestatud otseliini</w:t>
            </w:r>
            <w:r w:rsidR="00E7726E" w:rsidRPr="006514B5">
              <w:rPr>
                <w:rFonts w:ascii="Times New Roman" w:eastAsia="Calibri" w:hAnsi="Times New Roman" w:cs="Times New Roman"/>
                <w:sz w:val="24"/>
                <w:szCs w:val="24"/>
              </w:rPr>
              <w:t>.</w:t>
            </w:r>
          </w:p>
          <w:p w14:paraId="0C646623" w14:textId="007D4189" w:rsidR="009B7802" w:rsidRPr="00797EDC" w:rsidRDefault="009929A6" w:rsidP="009B7802">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et t</w:t>
            </w:r>
            <w:r w:rsidR="009B7802" w:rsidRPr="00797EDC">
              <w:rPr>
                <w:rFonts w:ascii="Times New Roman" w:eastAsia="Calibri" w:hAnsi="Times New Roman" w:cs="Times New Roman"/>
                <w:sz w:val="24"/>
                <w:szCs w:val="24"/>
              </w:rPr>
              <w:t>oetuse arvestamise alused peavad olema tõendatavad ega või suurendada olulisel määral sellega seotud halduskulusid. Hinnariskide maandamine elektrienergiat pakkumise kaudu otseliini või pikaajaliste elektriostulepingute („PPA“) abil ei ole võimalik kõikidel puhkudel tagada edastatud elektrienergia täpne arvestamine. Tarbijatelt kogutava toetuse abiga vähendatud elektri hind moonutab nii elektri kui selle tulemusel toodetud kaupade turgu.</w:t>
            </w:r>
          </w:p>
          <w:p w14:paraId="7873D54A" w14:textId="77777777" w:rsidR="005D2A3D" w:rsidRPr="00797EDC" w:rsidRDefault="005D2A3D" w:rsidP="005D2A3D">
            <w:pPr>
              <w:jc w:val="both"/>
              <w:rPr>
                <w:rFonts w:ascii="Times New Roman" w:eastAsia="Calibri" w:hAnsi="Times New Roman" w:cs="Times New Roman"/>
                <w:sz w:val="24"/>
                <w:szCs w:val="24"/>
              </w:rPr>
            </w:pPr>
          </w:p>
          <w:p w14:paraId="0ECA6ECC" w14:textId="32022130" w:rsidR="005D2A3D" w:rsidRPr="00797EDC" w:rsidRDefault="009929A6" w:rsidP="005D2A3D">
            <w:pPr>
              <w:jc w:val="both"/>
              <w:rPr>
                <w:rFonts w:eastAsia="Calibri" w:cstheme="minorHAnsi"/>
              </w:rPr>
            </w:pPr>
            <w:r w:rsidRPr="00797EDC">
              <w:rPr>
                <w:rFonts w:ascii="Times New Roman" w:eastAsia="Calibri" w:hAnsi="Times New Roman" w:cs="Times New Roman"/>
                <w:sz w:val="24"/>
                <w:szCs w:val="24"/>
              </w:rPr>
              <w:t>Tõdeme, et k</w:t>
            </w:r>
            <w:r w:rsidR="005D2A3D" w:rsidRPr="00797EDC">
              <w:rPr>
                <w:rFonts w:ascii="Times New Roman" w:eastAsia="Calibri" w:hAnsi="Times New Roman" w:cs="Times New Roman"/>
                <w:sz w:val="24"/>
                <w:szCs w:val="24"/>
              </w:rPr>
              <w:t>una toetuste allikad on väga erinevad, siis ei näe me võimalust seletuskirjas kirjeldada kõiki neid toetuseid, mille puhul tootmisseadmetel on võimalik vähempakkumisel osaleda ja mille puhul mitte</w:t>
            </w:r>
            <w:r w:rsidR="005D2A3D" w:rsidRPr="00797EDC">
              <w:rPr>
                <w:rFonts w:eastAsia="Calibri" w:cstheme="minorHAnsi"/>
              </w:rPr>
              <w:t>.</w:t>
            </w:r>
          </w:p>
          <w:p w14:paraId="070945C7" w14:textId="77777777" w:rsidR="005D2A3D" w:rsidRPr="00797EDC" w:rsidRDefault="005D2A3D" w:rsidP="005D2A3D">
            <w:pPr>
              <w:jc w:val="both"/>
              <w:rPr>
                <w:rFonts w:eastAsia="Calibri" w:cstheme="minorHAnsi"/>
              </w:rPr>
            </w:pPr>
          </w:p>
          <w:p w14:paraId="62590F04" w14:textId="04EC9EA8" w:rsidR="00803D48" w:rsidRPr="00797EDC" w:rsidRDefault="009B7802" w:rsidP="005D2A3D">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Kuivõrd </w:t>
            </w:r>
            <w:r w:rsidR="00FA2745">
              <w:rPr>
                <w:rFonts w:ascii="Times New Roman" w:eastAsia="Calibri" w:hAnsi="Times New Roman" w:cs="Times New Roman"/>
                <w:sz w:val="24"/>
                <w:szCs w:val="24"/>
              </w:rPr>
              <w:t>erakorralise riigiabi raamistiku (</w:t>
            </w:r>
            <w:proofErr w:type="spellStart"/>
            <w:r w:rsidR="00FA2745">
              <w:rPr>
                <w:rFonts w:ascii="Times New Roman" w:eastAsia="Calibri" w:hAnsi="Times New Roman" w:cs="Times New Roman"/>
                <w:sz w:val="24"/>
                <w:szCs w:val="24"/>
              </w:rPr>
              <w:t>Temporary</w:t>
            </w:r>
            <w:proofErr w:type="spellEnd"/>
            <w:r w:rsidR="00FA2745">
              <w:rPr>
                <w:rFonts w:ascii="Times New Roman" w:eastAsia="Calibri" w:hAnsi="Times New Roman" w:cs="Times New Roman"/>
                <w:sz w:val="24"/>
                <w:szCs w:val="24"/>
              </w:rPr>
              <w:t xml:space="preserve"> </w:t>
            </w:r>
            <w:proofErr w:type="spellStart"/>
            <w:r w:rsidR="00FA2745">
              <w:rPr>
                <w:rFonts w:ascii="Times New Roman" w:eastAsia="Calibri" w:hAnsi="Times New Roman" w:cs="Times New Roman"/>
                <w:sz w:val="24"/>
                <w:szCs w:val="24"/>
              </w:rPr>
              <w:t>Crisis</w:t>
            </w:r>
            <w:proofErr w:type="spellEnd"/>
            <w:r w:rsidR="00FA2745">
              <w:rPr>
                <w:rFonts w:ascii="Times New Roman" w:eastAsia="Calibri" w:hAnsi="Times New Roman" w:cs="Times New Roman"/>
                <w:sz w:val="24"/>
                <w:szCs w:val="24"/>
              </w:rPr>
              <w:t xml:space="preserve"> and </w:t>
            </w:r>
            <w:proofErr w:type="spellStart"/>
            <w:r w:rsidR="00FA2745">
              <w:rPr>
                <w:rFonts w:ascii="Times New Roman" w:eastAsia="Calibri" w:hAnsi="Times New Roman" w:cs="Times New Roman"/>
                <w:sz w:val="24"/>
                <w:szCs w:val="24"/>
              </w:rPr>
              <w:t>Transition</w:t>
            </w:r>
            <w:proofErr w:type="spellEnd"/>
            <w:r w:rsidR="00FA2745">
              <w:rPr>
                <w:rFonts w:ascii="Times New Roman" w:eastAsia="Calibri" w:hAnsi="Times New Roman" w:cs="Times New Roman"/>
                <w:sz w:val="24"/>
                <w:szCs w:val="24"/>
              </w:rPr>
              <w:t xml:space="preserve">  </w:t>
            </w:r>
            <w:proofErr w:type="spellStart"/>
            <w:r w:rsidR="00FA2745">
              <w:rPr>
                <w:rFonts w:ascii="Times New Roman" w:eastAsia="Calibri" w:hAnsi="Times New Roman" w:cs="Times New Roman"/>
                <w:sz w:val="24"/>
                <w:szCs w:val="24"/>
              </w:rPr>
              <w:t>Framework</w:t>
            </w:r>
            <w:proofErr w:type="spellEnd"/>
            <w:r w:rsidR="00FA2745">
              <w:rPr>
                <w:rFonts w:ascii="Times New Roman" w:eastAsia="Calibri" w:hAnsi="Times New Roman" w:cs="Times New Roman"/>
                <w:sz w:val="24"/>
                <w:szCs w:val="24"/>
              </w:rPr>
              <w:t xml:space="preserve">) </w:t>
            </w:r>
            <w:r w:rsidRPr="00797EDC">
              <w:rPr>
                <w:rFonts w:ascii="Times New Roman" w:eastAsia="Calibri" w:hAnsi="Times New Roman" w:cs="Times New Roman"/>
                <w:sz w:val="24"/>
                <w:szCs w:val="24"/>
              </w:rPr>
              <w:t xml:space="preserve">raamistikuga raames esitatud Riigiabi loa eeltaotluses ei ole </w:t>
            </w:r>
            <w:r w:rsidR="004C7085" w:rsidRPr="00797EDC">
              <w:rPr>
                <w:rFonts w:ascii="Times New Roman" w:eastAsia="Calibri" w:hAnsi="Times New Roman" w:cs="Times New Roman"/>
                <w:sz w:val="24"/>
                <w:szCs w:val="24"/>
              </w:rPr>
              <w:t>toodud ettepanekuid</w:t>
            </w:r>
            <w:r w:rsidRPr="00797EDC">
              <w:rPr>
                <w:rFonts w:ascii="Times New Roman" w:eastAsia="Calibri" w:hAnsi="Times New Roman" w:cs="Times New Roman"/>
                <w:sz w:val="24"/>
                <w:szCs w:val="24"/>
              </w:rPr>
              <w:t xml:space="preserve"> kajastatud, muudaks täiendavad muudatused taotluse </w:t>
            </w:r>
            <w:r w:rsidRPr="00797EDC">
              <w:rPr>
                <w:rFonts w:ascii="Times New Roman" w:eastAsia="Calibri" w:hAnsi="Times New Roman" w:cs="Times New Roman"/>
                <w:sz w:val="24"/>
                <w:szCs w:val="24"/>
              </w:rPr>
              <w:lastRenderedPageBreak/>
              <w:t>tingimustes ette antud tähtaegades loataotlusega jätkamise kaheldavaks.</w:t>
            </w:r>
          </w:p>
        </w:tc>
      </w:tr>
      <w:tr w:rsidR="0039544B" w:rsidRPr="005C0F32" w14:paraId="099EBAC6" w14:textId="77777777" w:rsidTr="3199B330">
        <w:trPr>
          <w:trHeight w:val="300"/>
        </w:trPr>
        <w:tc>
          <w:tcPr>
            <w:tcW w:w="10710" w:type="dxa"/>
          </w:tcPr>
          <w:p w14:paraId="4CE7A3BA" w14:textId="6C7B0D5E" w:rsidR="0039544B" w:rsidRPr="00907A3F" w:rsidRDefault="00907A3F" w:rsidP="00231206">
            <w:pPr>
              <w:jc w:val="both"/>
              <w:rPr>
                <w:rFonts w:ascii="Times New Roman" w:eastAsia="Times New Roman" w:hAnsi="Times New Roman" w:cs="Times New Roman"/>
                <w:b/>
                <w:color w:val="000000"/>
                <w:sz w:val="24"/>
                <w:szCs w:val="24"/>
                <w:lang w:eastAsia="en-GB"/>
              </w:rPr>
            </w:pPr>
            <w:r w:rsidRPr="00F44460">
              <w:rPr>
                <w:rFonts w:ascii="Times New Roman" w:eastAsia="Times New Roman" w:hAnsi="Times New Roman" w:cs="Times New Roman"/>
                <w:b/>
                <w:bCs/>
                <w:color w:val="000000"/>
                <w:sz w:val="24"/>
                <w:szCs w:val="24"/>
                <w:highlight w:val="cyan"/>
                <w:lang w:eastAsia="en-GB"/>
              </w:rPr>
              <w:lastRenderedPageBreak/>
              <w:t>Eesti Elektritööstuse Liit</w:t>
            </w:r>
          </w:p>
        </w:tc>
        <w:tc>
          <w:tcPr>
            <w:tcW w:w="3282" w:type="dxa"/>
          </w:tcPr>
          <w:p w14:paraId="6D8104B6" w14:textId="77777777" w:rsidR="0039544B" w:rsidRPr="00797EDC" w:rsidRDefault="0039544B" w:rsidP="1FD60553">
            <w:pPr>
              <w:pStyle w:val="Loendilik"/>
              <w:ind w:left="-23"/>
              <w:jc w:val="both"/>
              <w:rPr>
                <w:rFonts w:ascii="Times New Roman" w:eastAsia="Calibri" w:hAnsi="Times New Roman" w:cs="Times New Roman"/>
                <w:b/>
                <w:bCs/>
                <w:sz w:val="24"/>
                <w:szCs w:val="24"/>
              </w:rPr>
            </w:pPr>
          </w:p>
        </w:tc>
      </w:tr>
      <w:tr w:rsidR="0039544B" w:rsidRPr="005C0F32" w14:paraId="04E513E1" w14:textId="77777777" w:rsidTr="3199B330">
        <w:trPr>
          <w:trHeight w:val="300"/>
        </w:trPr>
        <w:tc>
          <w:tcPr>
            <w:tcW w:w="10710" w:type="dxa"/>
          </w:tcPr>
          <w:p w14:paraId="5FF2EB15" w14:textId="304704F0" w:rsidR="00E45366" w:rsidRPr="00E45366" w:rsidRDefault="00E45366" w:rsidP="00E45366">
            <w:pPr>
              <w:tabs>
                <w:tab w:val="left" w:pos="6714"/>
              </w:tabs>
              <w:jc w:val="both"/>
              <w:rPr>
                <w:rFonts w:ascii="Times New Roman" w:eastAsia="Times New Roman" w:hAnsi="Times New Roman" w:cs="Times New Roman"/>
                <w:color w:val="000000"/>
                <w:sz w:val="24"/>
                <w:szCs w:val="24"/>
                <w:lang w:eastAsia="en-GB"/>
              </w:rPr>
            </w:pPr>
            <w:r w:rsidRPr="00E45366">
              <w:rPr>
                <w:rFonts w:ascii="Times New Roman" w:eastAsia="Times New Roman" w:hAnsi="Times New Roman" w:cs="Times New Roman"/>
                <w:color w:val="000000"/>
                <w:sz w:val="24"/>
                <w:szCs w:val="24"/>
                <w:lang w:eastAsia="en-GB"/>
              </w:rPr>
              <w:t>Loodav seadusandlus peab tagama, et toetust saaks ka vähempakkumise võitnud</w:t>
            </w:r>
          </w:p>
          <w:p w14:paraId="05316C1C" w14:textId="77777777" w:rsidR="00E45366" w:rsidRPr="00E45366" w:rsidRDefault="00E45366" w:rsidP="00E45366">
            <w:pPr>
              <w:tabs>
                <w:tab w:val="left" w:pos="6714"/>
              </w:tabs>
              <w:jc w:val="both"/>
              <w:rPr>
                <w:rFonts w:ascii="Times New Roman" w:eastAsia="Times New Roman" w:hAnsi="Times New Roman" w:cs="Times New Roman"/>
                <w:color w:val="000000"/>
                <w:sz w:val="24"/>
                <w:szCs w:val="24"/>
                <w:lang w:eastAsia="en-GB"/>
              </w:rPr>
            </w:pPr>
            <w:r w:rsidRPr="00E45366">
              <w:rPr>
                <w:rFonts w:ascii="Times New Roman" w:eastAsia="Times New Roman" w:hAnsi="Times New Roman" w:cs="Times New Roman"/>
                <w:color w:val="000000"/>
                <w:sz w:val="24"/>
                <w:szCs w:val="24"/>
                <w:lang w:eastAsia="en-GB"/>
              </w:rPr>
              <w:t>tootmisseadmes toodetud elekter, mis edastati tarbijale otseliini kaudu (eelnõu tekitab</w:t>
            </w:r>
          </w:p>
          <w:p w14:paraId="540D1BBA" w14:textId="77777777" w:rsidR="00E45366" w:rsidRPr="00E45366" w:rsidRDefault="00E45366" w:rsidP="00E45366">
            <w:pPr>
              <w:tabs>
                <w:tab w:val="left" w:pos="6714"/>
              </w:tabs>
              <w:jc w:val="both"/>
              <w:rPr>
                <w:rFonts w:ascii="Times New Roman" w:eastAsia="Times New Roman" w:hAnsi="Times New Roman" w:cs="Times New Roman"/>
                <w:color w:val="000000"/>
                <w:sz w:val="24"/>
                <w:szCs w:val="24"/>
                <w:lang w:eastAsia="en-GB"/>
              </w:rPr>
            </w:pPr>
            <w:r w:rsidRPr="00E45366">
              <w:rPr>
                <w:rFonts w:ascii="Times New Roman" w:eastAsia="Times New Roman" w:hAnsi="Times New Roman" w:cs="Times New Roman"/>
                <w:color w:val="000000"/>
                <w:sz w:val="24"/>
                <w:szCs w:val="24"/>
                <w:lang w:eastAsia="en-GB"/>
              </w:rPr>
              <w:t>õigusliku vaakumi, sest eelnõuga ei muudeta kehtivat ELTS §58 (2), mis sätestab §594</w:t>
            </w:r>
          </w:p>
          <w:p w14:paraId="15ED9932" w14:textId="77777777" w:rsidR="00E45366" w:rsidRPr="00E45366" w:rsidRDefault="00E45366" w:rsidP="00E45366">
            <w:pPr>
              <w:tabs>
                <w:tab w:val="left" w:pos="6714"/>
              </w:tabs>
              <w:jc w:val="both"/>
              <w:rPr>
                <w:rFonts w:ascii="Times New Roman" w:eastAsia="Times New Roman" w:hAnsi="Times New Roman" w:cs="Times New Roman"/>
                <w:color w:val="000000"/>
                <w:sz w:val="24"/>
                <w:szCs w:val="24"/>
                <w:lang w:eastAsia="en-GB"/>
              </w:rPr>
            </w:pPr>
            <w:r w:rsidRPr="00E45366">
              <w:rPr>
                <w:rFonts w:ascii="Times New Roman" w:eastAsia="Times New Roman" w:hAnsi="Times New Roman" w:cs="Times New Roman"/>
                <w:color w:val="000000"/>
                <w:sz w:val="24"/>
                <w:szCs w:val="24"/>
                <w:lang w:eastAsia="en-GB"/>
              </w:rPr>
              <w:t>alusel toetuse maksmise ka otseliiniga tarbitud elektri koguse ulatuses. Samuti puudub</w:t>
            </w:r>
          </w:p>
          <w:p w14:paraId="571AD8D9" w14:textId="77777777" w:rsidR="00E45366" w:rsidRPr="00E45366" w:rsidRDefault="00E45366" w:rsidP="00E45366">
            <w:pPr>
              <w:tabs>
                <w:tab w:val="left" w:pos="6714"/>
              </w:tabs>
              <w:jc w:val="both"/>
              <w:rPr>
                <w:rFonts w:ascii="Times New Roman" w:eastAsia="Times New Roman" w:hAnsi="Times New Roman" w:cs="Times New Roman"/>
                <w:color w:val="000000"/>
                <w:sz w:val="24"/>
                <w:szCs w:val="24"/>
                <w:lang w:eastAsia="en-GB"/>
              </w:rPr>
            </w:pPr>
            <w:r w:rsidRPr="00E45366">
              <w:rPr>
                <w:rFonts w:ascii="Times New Roman" w:eastAsia="Times New Roman" w:hAnsi="Times New Roman" w:cs="Times New Roman"/>
                <w:color w:val="000000"/>
                <w:sz w:val="24"/>
                <w:szCs w:val="24"/>
                <w:lang w:eastAsia="en-GB"/>
              </w:rPr>
              <w:t>seletuskirjas asjaolu, et eelnõu eesmärk oleks välistada otseliini kaudu tarbijale edastatud</w:t>
            </w:r>
          </w:p>
          <w:p w14:paraId="3BFDD3D3" w14:textId="77777777" w:rsidR="00E45366" w:rsidRPr="00E45366" w:rsidRDefault="00E45366" w:rsidP="00E45366">
            <w:pPr>
              <w:tabs>
                <w:tab w:val="left" w:pos="6714"/>
              </w:tabs>
              <w:jc w:val="both"/>
              <w:rPr>
                <w:rFonts w:ascii="Times New Roman" w:eastAsia="Times New Roman" w:hAnsi="Times New Roman" w:cs="Times New Roman"/>
                <w:color w:val="000000"/>
                <w:sz w:val="24"/>
                <w:szCs w:val="24"/>
                <w:lang w:eastAsia="en-GB"/>
              </w:rPr>
            </w:pPr>
            <w:r w:rsidRPr="00E45366">
              <w:rPr>
                <w:rFonts w:ascii="Times New Roman" w:eastAsia="Times New Roman" w:hAnsi="Times New Roman" w:cs="Times New Roman"/>
                <w:color w:val="000000"/>
                <w:sz w:val="24"/>
                <w:szCs w:val="24"/>
                <w:lang w:eastAsia="en-GB"/>
              </w:rPr>
              <w:t>elektri kogus toetust saava koguse arvestusest. Seetõttu on tegemist sõnastuse tehnilise</w:t>
            </w:r>
          </w:p>
          <w:p w14:paraId="737D3A4E" w14:textId="13B41B13" w:rsidR="0039544B" w:rsidRPr="00231206" w:rsidRDefault="00E45366" w:rsidP="00E45366">
            <w:pPr>
              <w:tabs>
                <w:tab w:val="left" w:pos="6714"/>
              </w:tabs>
              <w:jc w:val="both"/>
              <w:rPr>
                <w:rFonts w:ascii="Times New Roman" w:eastAsia="Times New Roman" w:hAnsi="Times New Roman" w:cs="Times New Roman"/>
                <w:color w:val="000000"/>
                <w:sz w:val="24"/>
                <w:szCs w:val="24"/>
                <w:lang w:eastAsia="en-GB"/>
              </w:rPr>
            </w:pPr>
            <w:r w:rsidRPr="00E45366">
              <w:rPr>
                <w:rFonts w:ascii="Times New Roman" w:eastAsia="Times New Roman" w:hAnsi="Times New Roman" w:cs="Times New Roman"/>
                <w:color w:val="000000"/>
                <w:sz w:val="24"/>
                <w:szCs w:val="24"/>
                <w:lang w:eastAsia="en-GB"/>
              </w:rPr>
              <w:t>veaga, mis vajab parandamist);</w:t>
            </w:r>
          </w:p>
        </w:tc>
        <w:tc>
          <w:tcPr>
            <w:tcW w:w="3282" w:type="dxa"/>
          </w:tcPr>
          <w:p w14:paraId="77F398FE" w14:textId="19521D8E" w:rsidR="0039544B" w:rsidRPr="00797EDC" w:rsidRDefault="00F9376B" w:rsidP="28C849A4">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Selgitame</w:t>
            </w:r>
          </w:p>
          <w:p w14:paraId="4A3339DC" w14:textId="77777777" w:rsidR="007B2EA3" w:rsidRPr="00797EDC" w:rsidRDefault="007B2EA3" w:rsidP="28C849A4">
            <w:pPr>
              <w:pStyle w:val="Loendilik"/>
              <w:ind w:left="-23"/>
              <w:jc w:val="both"/>
              <w:rPr>
                <w:rFonts w:ascii="Times New Roman" w:eastAsia="Calibri" w:hAnsi="Times New Roman" w:cs="Times New Roman"/>
                <w:b/>
                <w:bCs/>
                <w:sz w:val="24"/>
                <w:szCs w:val="24"/>
              </w:rPr>
            </w:pPr>
          </w:p>
          <w:p w14:paraId="278C0E27" w14:textId="7C4FBAB0" w:rsidR="00E7726E" w:rsidRPr="00E7726E" w:rsidRDefault="00F9376B" w:rsidP="00E7726E">
            <w:pPr>
              <w:pStyle w:val="Loendilik"/>
              <w:ind w:left="-23"/>
              <w:jc w:val="both"/>
              <w:rPr>
                <w:rFonts w:ascii="Times New Roman" w:eastAsia="Calibri" w:hAnsi="Times New Roman" w:cs="Times New Roman"/>
                <w:noProof/>
                <w:sz w:val="24"/>
                <w:szCs w:val="24"/>
              </w:rPr>
            </w:pPr>
            <w:r>
              <w:rPr>
                <w:rFonts w:ascii="Times New Roman" w:eastAsia="Calibri" w:hAnsi="Times New Roman" w:cs="Times New Roman"/>
                <w:sz w:val="24"/>
                <w:szCs w:val="24"/>
              </w:rPr>
              <w:t xml:space="preserve">Nii </w:t>
            </w:r>
            <w:r w:rsidR="4391CE36" w:rsidRPr="00797EDC">
              <w:rPr>
                <w:rFonts w:ascii="Times New Roman" w:eastAsia="Calibri" w:hAnsi="Times New Roman" w:cs="Times New Roman"/>
                <w:sz w:val="24"/>
                <w:szCs w:val="24"/>
              </w:rPr>
              <w:t>elektrienergia</w:t>
            </w:r>
            <w:r>
              <w:rPr>
                <w:rFonts w:ascii="Times New Roman" w:eastAsia="Calibri" w:hAnsi="Times New Roman" w:cs="Times New Roman"/>
                <w:sz w:val="24"/>
                <w:szCs w:val="24"/>
              </w:rPr>
              <w:t xml:space="preserve"> edastamine</w:t>
            </w:r>
            <w:r w:rsidR="4391CE36" w:rsidRPr="00797EDC">
              <w:rPr>
                <w:rFonts w:ascii="Times New Roman" w:eastAsia="Calibri" w:hAnsi="Times New Roman" w:cs="Times New Roman"/>
                <w:sz w:val="24"/>
                <w:szCs w:val="24"/>
              </w:rPr>
              <w:t xml:space="preserve"> </w:t>
            </w:r>
            <w:r w:rsidR="4391CE36" w:rsidRPr="00797EDC">
              <w:rPr>
                <w:rFonts w:ascii="Times New Roman" w:eastAsia="Calibri" w:hAnsi="Times New Roman" w:cs="Times New Roman"/>
                <w:noProof/>
                <w:sz w:val="24"/>
                <w:szCs w:val="24"/>
              </w:rPr>
              <w:t xml:space="preserve">otseliini kaudu </w:t>
            </w:r>
            <w:r>
              <w:rPr>
                <w:rFonts w:ascii="Times New Roman" w:eastAsia="Calibri" w:hAnsi="Times New Roman" w:cs="Times New Roman"/>
                <w:noProof/>
                <w:sz w:val="24"/>
                <w:szCs w:val="24"/>
              </w:rPr>
              <w:t xml:space="preserve">kui selle </w:t>
            </w:r>
            <w:r w:rsidR="4391CE36" w:rsidRPr="00797EDC">
              <w:rPr>
                <w:rFonts w:ascii="Times New Roman" w:eastAsia="Calibri" w:hAnsi="Times New Roman" w:cs="Times New Roman"/>
                <w:noProof/>
                <w:sz w:val="24"/>
                <w:szCs w:val="24"/>
              </w:rPr>
              <w:t>müü</w:t>
            </w:r>
            <w:r>
              <w:rPr>
                <w:rFonts w:ascii="Times New Roman" w:eastAsia="Calibri" w:hAnsi="Times New Roman" w:cs="Times New Roman"/>
                <w:noProof/>
                <w:sz w:val="24"/>
                <w:szCs w:val="24"/>
              </w:rPr>
              <w:t>mine</w:t>
            </w:r>
            <w:r w:rsidR="4391CE36" w:rsidRPr="00797EDC">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elektri</w:t>
            </w:r>
            <w:r w:rsidR="4391CE36" w:rsidRPr="00797EDC">
              <w:rPr>
                <w:rFonts w:ascii="Times New Roman" w:eastAsia="Calibri" w:hAnsi="Times New Roman" w:cs="Times New Roman"/>
                <w:noProof/>
                <w:sz w:val="24"/>
                <w:szCs w:val="24"/>
              </w:rPr>
              <w:t xml:space="preserve">energia elektriostulepingute („PPA“) </w:t>
            </w:r>
            <w:r>
              <w:rPr>
                <w:rFonts w:ascii="Times New Roman" w:eastAsia="Calibri" w:hAnsi="Times New Roman" w:cs="Times New Roman"/>
                <w:noProof/>
                <w:sz w:val="24"/>
                <w:szCs w:val="24"/>
              </w:rPr>
              <w:t xml:space="preserve">kaudu maandab hinnariske. Sama eesmärki täidab riigi pakutav toetus tootmisrajatise </w:t>
            </w:r>
            <w:r w:rsidR="0055497B">
              <w:rPr>
                <w:rFonts w:ascii="Times New Roman" w:eastAsia="Calibri" w:hAnsi="Times New Roman" w:cs="Times New Roman"/>
                <w:noProof/>
                <w:sz w:val="24"/>
                <w:szCs w:val="24"/>
              </w:rPr>
              <w:t>opereerimise perioodil</w:t>
            </w:r>
            <w:r w:rsidR="52B36961" w:rsidRPr="00797EDC">
              <w:rPr>
                <w:rFonts w:ascii="Times New Roman" w:eastAsia="Calibri" w:hAnsi="Times New Roman" w:cs="Times New Roman"/>
                <w:noProof/>
                <w:sz w:val="24"/>
                <w:szCs w:val="24"/>
              </w:rPr>
              <w:t>.</w:t>
            </w:r>
            <w:r w:rsidR="0055497B">
              <w:rPr>
                <w:rFonts w:ascii="Times New Roman" w:eastAsia="Calibri" w:hAnsi="Times New Roman" w:cs="Times New Roman"/>
                <w:noProof/>
                <w:sz w:val="24"/>
                <w:szCs w:val="24"/>
              </w:rPr>
              <w:t xml:space="preserve"> </w:t>
            </w:r>
            <w:r w:rsidR="00E7726E">
              <w:rPr>
                <w:rFonts w:ascii="Times New Roman" w:eastAsia="Calibri" w:hAnsi="Times New Roman" w:cs="Times New Roman"/>
                <w:noProof/>
                <w:sz w:val="24"/>
                <w:szCs w:val="24"/>
              </w:rPr>
              <w:t>T</w:t>
            </w:r>
            <w:proofErr w:type="spellStart"/>
            <w:r w:rsidR="00E7726E" w:rsidRPr="00E7726E">
              <w:rPr>
                <w:rFonts w:ascii="Times New Roman" w:eastAsia="Calibri" w:hAnsi="Times New Roman" w:cs="Times New Roman"/>
                <w:sz w:val="24"/>
                <w:szCs w:val="24"/>
              </w:rPr>
              <w:t>oetust</w:t>
            </w:r>
            <w:proofErr w:type="spellEnd"/>
            <w:r w:rsidR="00E7726E" w:rsidRPr="00E7726E">
              <w:rPr>
                <w:rFonts w:ascii="Times New Roman" w:eastAsia="Calibri" w:hAnsi="Times New Roman" w:cs="Times New Roman"/>
                <w:sz w:val="24"/>
                <w:szCs w:val="24"/>
              </w:rPr>
              <w:t xml:space="preserve"> arvestatakse uue taastuvelektri tootmisrajatise poolt Eesti võrku antava elektrienergia hulgale ilma seejuures välistamata elektrienergia </w:t>
            </w:r>
            <w:r w:rsidR="00E7726E">
              <w:rPr>
                <w:rFonts w:ascii="Times New Roman" w:eastAsia="Calibri" w:hAnsi="Times New Roman" w:cs="Times New Roman"/>
                <w:sz w:val="24"/>
                <w:szCs w:val="24"/>
              </w:rPr>
              <w:t xml:space="preserve">edastamise </w:t>
            </w:r>
            <w:r w:rsidR="00E7726E" w:rsidRPr="00E7726E">
              <w:rPr>
                <w:rFonts w:ascii="Times New Roman" w:eastAsia="Calibri" w:hAnsi="Times New Roman" w:cs="Times New Roman"/>
                <w:sz w:val="24"/>
                <w:szCs w:val="24"/>
              </w:rPr>
              <w:t xml:space="preserve">otseostulepingute kaudu määratud tarnetena või ELTS </w:t>
            </w:r>
            <w:r w:rsidR="00E7726E" w:rsidRPr="00E7726E">
              <w:rPr>
                <w:rFonts w:ascii="Times New Roman" w:hAnsi="Times New Roman" w:cs="Times New Roman"/>
                <w:sz w:val="24"/>
                <w:szCs w:val="24"/>
              </w:rPr>
              <w:t>paragrahvi 61 lõike 1 punktis 1 sätestatud otseliini</w:t>
            </w:r>
            <w:r w:rsidR="00E7726E" w:rsidRPr="00E7726E">
              <w:rPr>
                <w:rFonts w:ascii="Times New Roman" w:eastAsia="Calibri" w:hAnsi="Times New Roman" w:cs="Times New Roman"/>
                <w:sz w:val="24"/>
                <w:szCs w:val="24"/>
              </w:rPr>
              <w:t xml:space="preserve">. </w:t>
            </w:r>
          </w:p>
          <w:p w14:paraId="2632C610" w14:textId="05EAC0B6" w:rsidR="0039544B" w:rsidRPr="00797EDC" w:rsidRDefault="0039544B">
            <w:pPr>
              <w:pStyle w:val="Loendilik"/>
              <w:spacing w:line="259" w:lineRule="auto"/>
              <w:ind w:left="-23"/>
              <w:jc w:val="both"/>
              <w:rPr>
                <w:rFonts w:ascii="Times New Roman" w:eastAsia="Calibri" w:hAnsi="Times New Roman" w:cs="Times New Roman"/>
                <w:sz w:val="24"/>
                <w:szCs w:val="24"/>
              </w:rPr>
            </w:pPr>
          </w:p>
        </w:tc>
      </w:tr>
      <w:tr w:rsidR="00E45366" w:rsidRPr="005C0F32" w14:paraId="45776D27" w14:textId="77777777" w:rsidTr="3199B330">
        <w:trPr>
          <w:trHeight w:val="300"/>
        </w:trPr>
        <w:tc>
          <w:tcPr>
            <w:tcW w:w="10710" w:type="dxa"/>
          </w:tcPr>
          <w:p w14:paraId="69F3FA6C" w14:textId="77777777" w:rsidR="00B47949" w:rsidRPr="00B47949" w:rsidRDefault="00B47949" w:rsidP="00B47949">
            <w:pPr>
              <w:tabs>
                <w:tab w:val="left" w:pos="6714"/>
              </w:tabs>
              <w:jc w:val="both"/>
              <w:rPr>
                <w:rFonts w:ascii="Times New Roman" w:eastAsia="Times New Roman" w:hAnsi="Times New Roman" w:cs="Times New Roman"/>
                <w:color w:val="000000"/>
                <w:sz w:val="24"/>
                <w:szCs w:val="24"/>
                <w:lang w:eastAsia="en-GB"/>
              </w:rPr>
            </w:pPr>
            <w:r w:rsidRPr="28C849A4">
              <w:rPr>
                <w:rFonts w:ascii="Times New Roman" w:eastAsia="Times New Roman" w:hAnsi="Times New Roman" w:cs="Times New Roman"/>
                <w:color w:val="000000" w:themeColor="text1"/>
                <w:sz w:val="24"/>
                <w:szCs w:val="24"/>
                <w:lang w:eastAsia="en-GB"/>
              </w:rPr>
              <w:t>Eelnõus ei ole sätestatud kahepoolse hinnavahelepingu korral tootja poolsete</w:t>
            </w:r>
          </w:p>
          <w:p w14:paraId="4FDAFCF1" w14:textId="0DEE8571" w:rsidR="00B47949" w:rsidRPr="00B47949" w:rsidRDefault="00B47949" w:rsidP="00B47949">
            <w:pPr>
              <w:tabs>
                <w:tab w:val="left" w:pos="6714"/>
              </w:tabs>
              <w:jc w:val="both"/>
              <w:rPr>
                <w:rFonts w:ascii="Times New Roman" w:eastAsia="Times New Roman" w:hAnsi="Times New Roman" w:cs="Times New Roman"/>
                <w:color w:val="000000"/>
                <w:sz w:val="24"/>
                <w:szCs w:val="24"/>
                <w:lang w:eastAsia="en-GB"/>
              </w:rPr>
            </w:pPr>
            <w:r w:rsidRPr="28C849A4">
              <w:rPr>
                <w:rFonts w:ascii="Times New Roman" w:eastAsia="Times New Roman" w:hAnsi="Times New Roman" w:cs="Times New Roman"/>
                <w:color w:val="000000" w:themeColor="text1"/>
                <w:sz w:val="24"/>
                <w:szCs w:val="24"/>
                <w:lang w:eastAsia="en-GB"/>
              </w:rPr>
              <w:t>tagasimaksete peatumise võimalust ka siis, kui toetuse maksed on peatatud (kuna</w:t>
            </w:r>
          </w:p>
          <w:p w14:paraId="1F267F1F" w14:textId="77777777" w:rsidR="00B47949" w:rsidRPr="00B47949" w:rsidRDefault="00B47949" w:rsidP="00B47949">
            <w:pPr>
              <w:tabs>
                <w:tab w:val="left" w:pos="6714"/>
              </w:tabs>
              <w:jc w:val="both"/>
              <w:rPr>
                <w:rFonts w:ascii="Times New Roman" w:eastAsia="Times New Roman" w:hAnsi="Times New Roman" w:cs="Times New Roman"/>
                <w:color w:val="000000"/>
                <w:sz w:val="24"/>
                <w:szCs w:val="24"/>
                <w:lang w:eastAsia="en-GB"/>
              </w:rPr>
            </w:pPr>
            <w:r w:rsidRPr="00B47949">
              <w:rPr>
                <w:rFonts w:ascii="Times New Roman" w:eastAsia="Times New Roman" w:hAnsi="Times New Roman" w:cs="Times New Roman"/>
                <w:color w:val="000000"/>
                <w:sz w:val="24"/>
                <w:szCs w:val="24"/>
                <w:lang w:eastAsia="en-GB"/>
              </w:rPr>
              <w:t>eelnõu ei sätesta võimalust peatada kahepoolse hinnavahelepingu mõlema poole kohustusi,</w:t>
            </w:r>
          </w:p>
          <w:p w14:paraId="22E78C60" w14:textId="77777777" w:rsidR="00B47949" w:rsidRPr="00B47949" w:rsidRDefault="00B47949" w:rsidP="00B47949">
            <w:pPr>
              <w:tabs>
                <w:tab w:val="left" w:pos="6714"/>
              </w:tabs>
              <w:jc w:val="both"/>
              <w:rPr>
                <w:rFonts w:ascii="Times New Roman" w:eastAsia="Times New Roman" w:hAnsi="Times New Roman" w:cs="Times New Roman"/>
                <w:color w:val="000000"/>
                <w:sz w:val="24"/>
                <w:szCs w:val="24"/>
                <w:lang w:eastAsia="en-GB"/>
              </w:rPr>
            </w:pPr>
            <w:r w:rsidRPr="00B47949">
              <w:rPr>
                <w:rFonts w:ascii="Times New Roman" w:eastAsia="Times New Roman" w:hAnsi="Times New Roman" w:cs="Times New Roman"/>
                <w:color w:val="000000"/>
                <w:sz w:val="24"/>
                <w:szCs w:val="24"/>
                <w:lang w:eastAsia="en-GB"/>
              </w:rPr>
              <w:t>tekitab eelnõu tootjale, kelle kohustusi ei ole võimalik peatada 12 aastase perioodi jooksul,</w:t>
            </w:r>
          </w:p>
          <w:p w14:paraId="2800F6A0" w14:textId="77777777" w:rsidR="00B47949" w:rsidRPr="00B47949" w:rsidRDefault="00B47949" w:rsidP="00B47949">
            <w:pPr>
              <w:tabs>
                <w:tab w:val="left" w:pos="6714"/>
              </w:tabs>
              <w:jc w:val="both"/>
              <w:rPr>
                <w:rFonts w:ascii="Times New Roman" w:eastAsia="Times New Roman" w:hAnsi="Times New Roman" w:cs="Times New Roman"/>
                <w:color w:val="000000"/>
                <w:sz w:val="24"/>
                <w:szCs w:val="24"/>
                <w:lang w:eastAsia="en-GB"/>
              </w:rPr>
            </w:pPr>
            <w:r w:rsidRPr="00B47949">
              <w:rPr>
                <w:rFonts w:ascii="Times New Roman" w:eastAsia="Times New Roman" w:hAnsi="Times New Roman" w:cs="Times New Roman"/>
                <w:color w:val="000000"/>
                <w:sz w:val="24"/>
                <w:szCs w:val="24"/>
                <w:lang w:eastAsia="en-GB"/>
              </w:rPr>
              <w:t>äärmiselt suure lisariski. Eelnõu praegusest sõnastusest tuleneb justkui võtaks peamise riski</w:t>
            </w:r>
          </w:p>
          <w:p w14:paraId="480210FF" w14:textId="77777777" w:rsidR="00B47949" w:rsidRPr="00B47949" w:rsidRDefault="00B47949" w:rsidP="00B47949">
            <w:pPr>
              <w:tabs>
                <w:tab w:val="left" w:pos="6714"/>
              </w:tabs>
              <w:jc w:val="both"/>
              <w:rPr>
                <w:rFonts w:ascii="Times New Roman" w:eastAsia="Times New Roman" w:hAnsi="Times New Roman" w:cs="Times New Roman"/>
                <w:color w:val="000000"/>
                <w:sz w:val="24"/>
                <w:szCs w:val="24"/>
                <w:lang w:eastAsia="en-GB"/>
              </w:rPr>
            </w:pPr>
            <w:r w:rsidRPr="00B47949">
              <w:rPr>
                <w:rFonts w:ascii="Times New Roman" w:eastAsia="Times New Roman" w:hAnsi="Times New Roman" w:cs="Times New Roman"/>
                <w:color w:val="000000"/>
                <w:sz w:val="24"/>
                <w:szCs w:val="24"/>
                <w:lang w:eastAsia="en-GB"/>
              </w:rPr>
              <w:t>toetuse maksja, kelle riske tuleb piirata. Tegelikkuses võtab peamise riski meretuuleparki</w:t>
            </w:r>
          </w:p>
          <w:p w14:paraId="2D9D8E3D" w14:textId="1252DB4F" w:rsidR="00E45366" w:rsidRDefault="00B47949" w:rsidP="00E45366">
            <w:pPr>
              <w:tabs>
                <w:tab w:val="left" w:pos="6714"/>
              </w:tabs>
              <w:jc w:val="both"/>
              <w:rPr>
                <w:rFonts w:ascii="Times New Roman" w:eastAsia="Times New Roman" w:hAnsi="Times New Roman" w:cs="Times New Roman"/>
                <w:color w:val="000000"/>
                <w:sz w:val="24"/>
                <w:szCs w:val="24"/>
                <w:lang w:eastAsia="en-GB"/>
              </w:rPr>
            </w:pPr>
            <w:r w:rsidRPr="00B47949">
              <w:rPr>
                <w:rFonts w:ascii="Times New Roman" w:eastAsia="Times New Roman" w:hAnsi="Times New Roman" w:cs="Times New Roman"/>
                <w:color w:val="000000"/>
                <w:sz w:val="24"/>
                <w:szCs w:val="24"/>
                <w:lang w:eastAsia="en-GB"/>
              </w:rPr>
              <w:t>investeeriv tootja, kelle riskid on eelnõuga jäetud proportsionaalselt kaitsmata);</w:t>
            </w:r>
          </w:p>
        </w:tc>
        <w:tc>
          <w:tcPr>
            <w:tcW w:w="3282" w:type="dxa"/>
          </w:tcPr>
          <w:p w14:paraId="26BD5CDF" w14:textId="5508CA80" w:rsidR="00E45366" w:rsidRPr="00797EDC" w:rsidRDefault="44847441"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Mittea</w:t>
            </w:r>
            <w:r w:rsidR="00E41342" w:rsidRPr="00797EDC">
              <w:rPr>
                <w:rFonts w:ascii="Times New Roman" w:eastAsia="Calibri" w:hAnsi="Times New Roman" w:cs="Times New Roman"/>
                <w:b/>
                <w:bCs/>
                <w:sz w:val="24"/>
                <w:szCs w:val="24"/>
              </w:rPr>
              <w:t>rvestatud</w:t>
            </w:r>
          </w:p>
          <w:p w14:paraId="67BF3E03" w14:textId="77777777" w:rsidR="007B2EA3" w:rsidRPr="00797EDC" w:rsidRDefault="007B2EA3" w:rsidP="1FD60553">
            <w:pPr>
              <w:pStyle w:val="Loendilik"/>
              <w:ind w:left="-23"/>
              <w:jc w:val="both"/>
              <w:rPr>
                <w:rFonts w:ascii="Times New Roman" w:eastAsia="Calibri" w:hAnsi="Times New Roman" w:cs="Times New Roman"/>
                <w:b/>
                <w:bCs/>
                <w:sz w:val="24"/>
                <w:szCs w:val="24"/>
              </w:rPr>
            </w:pPr>
          </w:p>
          <w:p w14:paraId="106673DC" w14:textId="73F8C3A2" w:rsidR="00E41342" w:rsidRPr="00797EDC" w:rsidRDefault="573EEC66" w:rsidP="007A1F62">
            <w:pPr>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Maksete peatamine on seotud mh puudustega tootja tegevuses, </w:t>
            </w:r>
            <w:r w:rsidR="13FBDBC9" w:rsidRPr="00797EDC">
              <w:rPr>
                <w:rFonts w:ascii="Times New Roman" w:eastAsia="Calibri" w:hAnsi="Times New Roman" w:cs="Times New Roman"/>
                <w:sz w:val="24"/>
                <w:szCs w:val="24"/>
              </w:rPr>
              <w:t>st eelnõus kirj</w:t>
            </w:r>
            <w:r w:rsidR="00B70528" w:rsidRPr="00797EDC">
              <w:rPr>
                <w:rFonts w:ascii="Times New Roman" w:eastAsia="Calibri" w:hAnsi="Times New Roman" w:cs="Times New Roman"/>
                <w:sz w:val="24"/>
                <w:szCs w:val="24"/>
              </w:rPr>
              <w:t>e</w:t>
            </w:r>
            <w:r w:rsidR="13FBDBC9" w:rsidRPr="00797EDC">
              <w:rPr>
                <w:rFonts w:ascii="Times New Roman" w:eastAsia="Calibri" w:hAnsi="Times New Roman" w:cs="Times New Roman"/>
                <w:sz w:val="24"/>
                <w:szCs w:val="24"/>
              </w:rPr>
              <w:t>ldatud süsteem motiveerib tootjat puudusi kõrvaldama.</w:t>
            </w:r>
          </w:p>
        </w:tc>
      </w:tr>
      <w:tr w:rsidR="00B47949" w:rsidRPr="005C0F32" w14:paraId="389B7FF7" w14:textId="77777777" w:rsidTr="3199B330">
        <w:trPr>
          <w:trHeight w:val="300"/>
        </w:trPr>
        <w:tc>
          <w:tcPr>
            <w:tcW w:w="10710" w:type="dxa"/>
          </w:tcPr>
          <w:p w14:paraId="7A51003C" w14:textId="77777777" w:rsidR="00AD72E2" w:rsidRPr="00AD72E2" w:rsidRDefault="00AD72E2" w:rsidP="00AD72E2">
            <w:pPr>
              <w:tabs>
                <w:tab w:val="left" w:pos="6714"/>
              </w:tabs>
              <w:jc w:val="both"/>
              <w:rPr>
                <w:rFonts w:ascii="Times New Roman" w:eastAsia="Times New Roman" w:hAnsi="Times New Roman" w:cs="Times New Roman"/>
                <w:color w:val="000000"/>
                <w:sz w:val="24"/>
                <w:szCs w:val="24"/>
                <w:lang w:eastAsia="en-GB"/>
              </w:rPr>
            </w:pPr>
            <w:r w:rsidRPr="00AD72E2">
              <w:rPr>
                <w:rFonts w:ascii="Times New Roman" w:eastAsia="Times New Roman" w:hAnsi="Times New Roman" w:cs="Times New Roman"/>
                <w:color w:val="000000"/>
                <w:sz w:val="24"/>
                <w:szCs w:val="24"/>
                <w:lang w:eastAsia="en-GB"/>
              </w:rPr>
              <w:t>Kavandatud hinnavaheleping ei maanda majanduslikult põhjendatud suurusega</w:t>
            </w:r>
          </w:p>
          <w:p w14:paraId="10830173" w14:textId="77777777" w:rsidR="00AD72E2" w:rsidRPr="00AD72E2" w:rsidRDefault="00AD72E2" w:rsidP="00AD72E2">
            <w:pPr>
              <w:tabs>
                <w:tab w:val="left" w:pos="6714"/>
              </w:tabs>
              <w:jc w:val="both"/>
              <w:rPr>
                <w:rFonts w:ascii="Times New Roman" w:eastAsia="Times New Roman" w:hAnsi="Times New Roman" w:cs="Times New Roman"/>
                <w:color w:val="000000"/>
                <w:sz w:val="24"/>
                <w:szCs w:val="24"/>
                <w:lang w:eastAsia="en-GB"/>
              </w:rPr>
            </w:pPr>
            <w:r w:rsidRPr="00AD72E2">
              <w:rPr>
                <w:rFonts w:ascii="Times New Roman" w:eastAsia="Times New Roman" w:hAnsi="Times New Roman" w:cs="Times New Roman"/>
                <w:color w:val="000000"/>
                <w:sz w:val="24"/>
                <w:szCs w:val="24"/>
                <w:lang w:eastAsia="en-GB"/>
              </w:rPr>
              <w:t>(mere)tuulepargi omaniku riske, vaid tekitab elektri tootjale riske juurde (Eelnõu</w:t>
            </w:r>
          </w:p>
          <w:p w14:paraId="0CDB51CD" w14:textId="77777777" w:rsidR="00AD72E2" w:rsidRPr="00AD72E2" w:rsidRDefault="00AD72E2" w:rsidP="00AD72E2">
            <w:pPr>
              <w:tabs>
                <w:tab w:val="left" w:pos="6714"/>
              </w:tabs>
              <w:jc w:val="both"/>
              <w:rPr>
                <w:rFonts w:ascii="Times New Roman" w:eastAsia="Times New Roman" w:hAnsi="Times New Roman" w:cs="Times New Roman"/>
                <w:color w:val="000000"/>
                <w:sz w:val="24"/>
                <w:szCs w:val="24"/>
                <w:lang w:eastAsia="en-GB"/>
              </w:rPr>
            </w:pPr>
            <w:r w:rsidRPr="28C849A4">
              <w:rPr>
                <w:rFonts w:ascii="Times New Roman" w:eastAsia="Times New Roman" w:hAnsi="Times New Roman" w:cs="Times New Roman"/>
                <w:color w:val="000000" w:themeColor="text1"/>
                <w:sz w:val="24"/>
                <w:szCs w:val="24"/>
                <w:lang w:eastAsia="en-GB"/>
              </w:rPr>
              <w:t>kohaselt käivitatakse kahepoolne hinnavaheleping ajal, kui turul tekivad tõenäoliselt</w:t>
            </w:r>
          </w:p>
          <w:p w14:paraId="54DDE1B7" w14:textId="77777777" w:rsidR="00AD72E2" w:rsidRPr="00AD72E2" w:rsidRDefault="00AD72E2" w:rsidP="00AD72E2">
            <w:pPr>
              <w:tabs>
                <w:tab w:val="left" w:pos="6714"/>
              </w:tabs>
              <w:jc w:val="both"/>
              <w:rPr>
                <w:rFonts w:ascii="Times New Roman" w:eastAsia="Times New Roman" w:hAnsi="Times New Roman" w:cs="Times New Roman"/>
                <w:color w:val="000000"/>
                <w:sz w:val="24"/>
                <w:szCs w:val="24"/>
                <w:lang w:eastAsia="en-GB"/>
              </w:rPr>
            </w:pPr>
            <w:r w:rsidRPr="28C849A4">
              <w:rPr>
                <w:rFonts w:ascii="Times New Roman" w:eastAsia="Times New Roman" w:hAnsi="Times New Roman" w:cs="Times New Roman"/>
                <w:color w:val="000000" w:themeColor="text1"/>
                <w:sz w:val="24"/>
                <w:szCs w:val="24"/>
                <w:lang w:eastAsia="en-GB"/>
              </w:rPr>
              <w:t>kõrged hinnad ning tootja peab valdavalt kõrgete hindade ajal toetuse maksjale</w:t>
            </w:r>
          </w:p>
          <w:p w14:paraId="0629F813" w14:textId="15F767EF" w:rsidR="00AD72E2" w:rsidRPr="00AD72E2" w:rsidRDefault="00AD72E2" w:rsidP="00AD72E2">
            <w:pPr>
              <w:tabs>
                <w:tab w:val="left" w:pos="6714"/>
              </w:tabs>
              <w:jc w:val="both"/>
              <w:rPr>
                <w:rFonts w:ascii="Times New Roman" w:eastAsia="Times New Roman" w:hAnsi="Times New Roman" w:cs="Times New Roman"/>
                <w:color w:val="000000"/>
                <w:sz w:val="24"/>
                <w:szCs w:val="24"/>
                <w:lang w:eastAsia="en-GB"/>
              </w:rPr>
            </w:pPr>
            <w:r w:rsidRPr="28C849A4">
              <w:rPr>
                <w:rFonts w:ascii="Times New Roman" w:eastAsia="Times New Roman" w:hAnsi="Times New Roman" w:cs="Times New Roman"/>
                <w:color w:val="000000" w:themeColor="text1"/>
                <w:sz w:val="24"/>
                <w:szCs w:val="24"/>
                <w:lang w:eastAsia="en-GB"/>
              </w:rPr>
              <w:lastRenderedPageBreak/>
              <w:t xml:space="preserve">tagasimakseid tegema. Kui Eestisse ehitatakse umbes 1000 MW suurusjärgus meretuulepark, siis eelnõu seletuskirjas tõenäolisena esitatud 1 </w:t>
            </w:r>
            <w:proofErr w:type="spellStart"/>
            <w:r w:rsidRPr="28C849A4">
              <w:rPr>
                <w:rFonts w:ascii="Times New Roman" w:eastAsia="Times New Roman" w:hAnsi="Times New Roman" w:cs="Times New Roman"/>
                <w:color w:val="000000" w:themeColor="text1"/>
                <w:sz w:val="24"/>
                <w:szCs w:val="24"/>
                <w:lang w:eastAsia="en-GB"/>
              </w:rPr>
              <w:t>TWh</w:t>
            </w:r>
            <w:proofErr w:type="spellEnd"/>
            <w:r w:rsidRPr="28C849A4">
              <w:rPr>
                <w:rFonts w:ascii="Times New Roman" w:eastAsia="Times New Roman" w:hAnsi="Times New Roman" w:cs="Times New Roman"/>
                <w:color w:val="000000" w:themeColor="text1"/>
                <w:sz w:val="24"/>
                <w:szCs w:val="24"/>
                <w:lang w:eastAsia="en-GB"/>
              </w:rPr>
              <w:t xml:space="preserve"> mahus kahepoolse</w:t>
            </w:r>
          </w:p>
          <w:p w14:paraId="131EA043" w14:textId="77777777" w:rsidR="00AD72E2" w:rsidRPr="00AD72E2" w:rsidRDefault="00AD72E2" w:rsidP="00AD72E2">
            <w:pPr>
              <w:tabs>
                <w:tab w:val="left" w:pos="6714"/>
              </w:tabs>
              <w:jc w:val="both"/>
              <w:rPr>
                <w:rFonts w:ascii="Times New Roman" w:eastAsia="Times New Roman" w:hAnsi="Times New Roman" w:cs="Times New Roman"/>
                <w:color w:val="000000"/>
                <w:sz w:val="24"/>
                <w:szCs w:val="24"/>
                <w:lang w:eastAsia="en-GB"/>
              </w:rPr>
            </w:pPr>
            <w:r w:rsidRPr="28C849A4">
              <w:rPr>
                <w:rFonts w:ascii="Times New Roman" w:eastAsia="Times New Roman" w:hAnsi="Times New Roman" w:cs="Times New Roman"/>
                <w:color w:val="000000" w:themeColor="text1"/>
                <w:sz w:val="24"/>
                <w:szCs w:val="24"/>
                <w:lang w:eastAsia="en-GB"/>
              </w:rPr>
              <w:t xml:space="preserve">hinnavahelepingu kahepoolsete maksete periood lõppeb juba enne </w:t>
            </w:r>
            <w:r w:rsidR="0C74476A" w:rsidRPr="632ABAD8">
              <w:rPr>
                <w:rFonts w:ascii="Times New Roman" w:eastAsia="Times New Roman" w:hAnsi="Times New Roman" w:cs="Times New Roman"/>
                <w:color w:val="000000" w:themeColor="text1"/>
                <w:sz w:val="24"/>
                <w:szCs w:val="24"/>
                <w:lang w:eastAsia="en-GB"/>
              </w:rPr>
              <w:t>kevadet.</w:t>
            </w:r>
            <w:r w:rsidRPr="28C849A4">
              <w:rPr>
                <w:rFonts w:ascii="Times New Roman" w:eastAsia="Times New Roman" w:hAnsi="Times New Roman" w:cs="Times New Roman"/>
                <w:color w:val="000000" w:themeColor="text1"/>
                <w:sz w:val="24"/>
                <w:szCs w:val="24"/>
                <w:lang w:eastAsia="en-GB"/>
              </w:rPr>
              <w:t xml:space="preserve"> Kui kevadel</w:t>
            </w:r>
          </w:p>
          <w:p w14:paraId="18F6D607" w14:textId="77777777" w:rsidR="00AD72E2" w:rsidRPr="00AD72E2" w:rsidRDefault="00AD72E2" w:rsidP="00AD72E2">
            <w:pPr>
              <w:tabs>
                <w:tab w:val="left" w:pos="6714"/>
              </w:tabs>
              <w:jc w:val="both"/>
              <w:rPr>
                <w:rFonts w:ascii="Times New Roman" w:eastAsia="Times New Roman" w:hAnsi="Times New Roman" w:cs="Times New Roman"/>
                <w:color w:val="000000"/>
                <w:sz w:val="24"/>
                <w:szCs w:val="24"/>
                <w:lang w:eastAsia="en-GB"/>
              </w:rPr>
            </w:pPr>
            <w:r w:rsidRPr="00AD72E2">
              <w:rPr>
                <w:rFonts w:ascii="Times New Roman" w:eastAsia="Times New Roman" w:hAnsi="Times New Roman" w:cs="Times New Roman"/>
                <w:color w:val="000000"/>
                <w:sz w:val="24"/>
                <w:szCs w:val="24"/>
                <w:lang w:eastAsia="en-GB"/>
              </w:rPr>
              <w:t>elektriturul hinnad langevad ning tootja vajaks kogu suveperioodi vältel hinnakaitset</w:t>
            </w:r>
          </w:p>
          <w:p w14:paraId="507D7A0C" w14:textId="77777777" w:rsidR="00AD72E2" w:rsidRPr="00AD72E2" w:rsidRDefault="00AD72E2" w:rsidP="00AD72E2">
            <w:pPr>
              <w:tabs>
                <w:tab w:val="left" w:pos="6714"/>
              </w:tabs>
              <w:jc w:val="both"/>
              <w:rPr>
                <w:rFonts w:ascii="Times New Roman" w:eastAsia="Times New Roman" w:hAnsi="Times New Roman" w:cs="Times New Roman"/>
                <w:color w:val="000000"/>
                <w:sz w:val="24"/>
                <w:szCs w:val="24"/>
                <w:lang w:eastAsia="en-GB"/>
              </w:rPr>
            </w:pPr>
            <w:r w:rsidRPr="00AD72E2">
              <w:rPr>
                <w:rFonts w:ascii="Times New Roman" w:eastAsia="Times New Roman" w:hAnsi="Times New Roman" w:cs="Times New Roman"/>
                <w:color w:val="000000"/>
                <w:sz w:val="24"/>
                <w:szCs w:val="24"/>
                <w:lang w:eastAsia="en-GB"/>
              </w:rPr>
              <w:t>kahepoolse hinnavahelepingu alusel, siis eelnõus ja seletuskirjas kirjeldatu toetus seda</w:t>
            </w:r>
          </w:p>
          <w:p w14:paraId="668648DF" w14:textId="78BFFE57" w:rsidR="00B47949" w:rsidRDefault="00AD72E2" w:rsidP="00E45366">
            <w:pPr>
              <w:tabs>
                <w:tab w:val="left" w:pos="6714"/>
              </w:tabs>
              <w:jc w:val="both"/>
              <w:rPr>
                <w:rFonts w:ascii="Times New Roman" w:eastAsia="Times New Roman" w:hAnsi="Times New Roman" w:cs="Times New Roman"/>
                <w:color w:val="000000"/>
                <w:sz w:val="24"/>
                <w:szCs w:val="24"/>
                <w:lang w:eastAsia="en-GB"/>
              </w:rPr>
            </w:pPr>
            <w:r w:rsidRPr="00AD72E2">
              <w:rPr>
                <w:rFonts w:ascii="Times New Roman" w:eastAsia="Times New Roman" w:hAnsi="Times New Roman" w:cs="Times New Roman"/>
                <w:color w:val="000000"/>
                <w:sz w:val="24"/>
                <w:szCs w:val="24"/>
                <w:lang w:eastAsia="en-GB"/>
              </w:rPr>
              <w:t>majanduslikult põhjendatuid suurusega meretuulepargile ei võimalda);</w:t>
            </w:r>
          </w:p>
        </w:tc>
        <w:tc>
          <w:tcPr>
            <w:tcW w:w="3282" w:type="dxa"/>
          </w:tcPr>
          <w:p w14:paraId="690C2BAB" w14:textId="44458247" w:rsidR="00B47949" w:rsidRPr="00797EDC" w:rsidRDefault="00E14812" w:rsidP="007A1F62">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Mittearvestatud</w:t>
            </w:r>
          </w:p>
          <w:p w14:paraId="46D1577D" w14:textId="6CAE37B7" w:rsidR="69ACF809" w:rsidRPr="00797EDC" w:rsidRDefault="69ACF809" w:rsidP="69ACF809">
            <w:pPr>
              <w:pStyle w:val="Loendilik"/>
              <w:ind w:left="-23"/>
              <w:jc w:val="both"/>
              <w:rPr>
                <w:rFonts w:ascii="Times New Roman" w:eastAsia="Calibri" w:hAnsi="Times New Roman" w:cs="Times New Roman"/>
                <w:sz w:val="24"/>
                <w:szCs w:val="24"/>
              </w:rPr>
            </w:pPr>
          </w:p>
          <w:p w14:paraId="4B1AE203" w14:textId="77777777" w:rsidR="00927F43" w:rsidRPr="00797EDC" w:rsidRDefault="00927F43" w:rsidP="00927F4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Meede on kavandatud sedasi, et toetust jätkub igaks kauplemisperioodi hetkeks </w:t>
            </w:r>
            <w:r w:rsidRPr="00797EDC">
              <w:rPr>
                <w:rFonts w:ascii="Times New Roman" w:eastAsia="Calibri" w:hAnsi="Times New Roman" w:cs="Times New Roman"/>
                <w:sz w:val="24"/>
                <w:szCs w:val="24"/>
              </w:rPr>
              <w:lastRenderedPageBreak/>
              <w:t>aastas, kuid riigi jaoks on oluline projektide valmimine enne kalendriaasta lõppu ning intensiivse kütteperioodi algust.</w:t>
            </w:r>
          </w:p>
          <w:p w14:paraId="40165288" w14:textId="77777777" w:rsidR="00927F43" w:rsidRPr="00797EDC" w:rsidRDefault="00927F43" w:rsidP="00E30ED9">
            <w:pPr>
              <w:pStyle w:val="Loendilik"/>
              <w:spacing w:line="259" w:lineRule="auto"/>
              <w:ind w:left="-23"/>
              <w:jc w:val="both"/>
              <w:rPr>
                <w:rFonts w:ascii="Times New Roman" w:eastAsia="Calibri" w:hAnsi="Times New Roman" w:cs="Times New Roman"/>
                <w:sz w:val="24"/>
                <w:szCs w:val="24"/>
              </w:rPr>
            </w:pPr>
          </w:p>
          <w:p w14:paraId="48A68DD2" w14:textId="5970310B" w:rsidR="00E14812" w:rsidRPr="00797EDC" w:rsidRDefault="00E14812" w:rsidP="00E30ED9">
            <w:pPr>
              <w:pStyle w:val="Loendilik"/>
              <w:spacing w:line="259" w:lineRule="auto"/>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Vähempakkumise määruse kavand näeb ette toetuse proportsionaalse jaotamise rajatise koguvõimsusest </w:t>
            </w:r>
            <w:r w:rsidR="0032628A" w:rsidRPr="00797EDC">
              <w:rPr>
                <w:rFonts w:ascii="Times New Roman" w:eastAsia="Calibri" w:hAnsi="Times New Roman" w:cs="Times New Roman"/>
                <w:sz w:val="24"/>
                <w:szCs w:val="24"/>
              </w:rPr>
              <w:t>igaks kauplemisperioodiks aa</w:t>
            </w:r>
            <w:r w:rsidR="0032628A" w:rsidRPr="00797EDC">
              <w:rPr>
                <w:rFonts w:ascii="Times New Roman" w:eastAsiaTheme="minorEastAsia" w:hAnsi="Times New Roman" w:cs="Times New Roman"/>
                <w:sz w:val="24"/>
                <w:szCs w:val="24"/>
              </w:rPr>
              <w:t>stas.</w:t>
            </w:r>
            <w:r w:rsidR="003E5802" w:rsidRPr="00797EDC">
              <w:rPr>
                <w:rFonts w:ascii="Times New Roman" w:eastAsiaTheme="minorEastAsia" w:hAnsi="Times New Roman" w:cs="Times New Roman"/>
                <w:sz w:val="24"/>
                <w:szCs w:val="24"/>
              </w:rPr>
              <w:t xml:space="preserve"> </w:t>
            </w:r>
            <w:r w:rsidR="541BC994" w:rsidRPr="00797EDC">
              <w:rPr>
                <w:rFonts w:ascii="Times New Roman" w:eastAsiaTheme="minorEastAsia" w:hAnsi="Times New Roman" w:cs="Times New Roman"/>
                <w:sz w:val="24"/>
                <w:szCs w:val="24"/>
              </w:rPr>
              <w:t>Eelnõu § 59</w:t>
            </w:r>
            <w:r w:rsidR="541BC994" w:rsidRPr="00797EDC">
              <w:rPr>
                <w:rFonts w:ascii="Times New Roman" w:eastAsia="Times New Roman" w:hAnsi="Times New Roman" w:cs="Times New Roman"/>
                <w:noProof/>
                <w:sz w:val="24"/>
                <w:szCs w:val="24"/>
                <w:vertAlign w:val="superscript"/>
              </w:rPr>
              <w:t>10</w:t>
            </w:r>
            <w:r w:rsidR="541BC994" w:rsidRPr="00797EDC">
              <w:rPr>
                <w:rFonts w:ascii="Times New Roman" w:eastAsiaTheme="minorEastAsia" w:hAnsi="Times New Roman" w:cs="Times New Roman"/>
                <w:sz w:val="24"/>
                <w:szCs w:val="24"/>
              </w:rPr>
              <w:t xml:space="preserve"> lg 11 teise lause alusel ei lähe toetatava elektrienergia koguse arvestusse elektrienergia, mis on antud võrku tundidel, mil tootja maksab vähempakkumise läbiviijale kõrgete turuhindade perioodil, või mil turuhind on 0 või negatiivne – seega jätkuvad toetuse maksed pikema ajavahemiku vältel, kuna toetatava elektrienergia koguse arvestusse kuulub üksnes see elektrienergia, mille ulatuses on vähempakkumise läbiviija maksnud toetust. </w:t>
            </w:r>
            <w:r w:rsidR="6BDC182D" w:rsidRPr="00797EDC">
              <w:rPr>
                <w:rFonts w:ascii="Times New Roman" w:eastAsiaTheme="minorEastAsia" w:hAnsi="Times New Roman" w:cs="Times New Roman"/>
                <w:sz w:val="24"/>
                <w:szCs w:val="24"/>
              </w:rPr>
              <w:t>Vastavalt määruse kavandi p-le 6 on pakkujal võimalik märkida pakkumuses osakaal võrku antavast kogusest, st osaleda %-ga toodangust ning selliselt jätkub toetusperiood vastavalt pikema ajavahemiku vältel</w:t>
            </w:r>
            <w:r w:rsidR="1A4D2A3F" w:rsidRPr="00797EDC">
              <w:rPr>
                <w:rFonts w:ascii="Times New Roman" w:eastAsiaTheme="minorEastAsia" w:hAnsi="Times New Roman" w:cs="Times New Roman"/>
                <w:sz w:val="24"/>
                <w:szCs w:val="24"/>
              </w:rPr>
              <w:t xml:space="preserve">, kuna ülejäänud osakaal </w:t>
            </w:r>
            <w:r w:rsidR="1A4D2A3F" w:rsidRPr="00797EDC">
              <w:rPr>
                <w:rFonts w:ascii="Times New Roman" w:eastAsiaTheme="minorEastAsia" w:hAnsi="Times New Roman" w:cs="Times New Roman"/>
                <w:sz w:val="24"/>
                <w:szCs w:val="24"/>
              </w:rPr>
              <w:lastRenderedPageBreak/>
              <w:t xml:space="preserve">toodangust ei lähe </w:t>
            </w:r>
            <w:r w:rsidR="1A4D2A3F" w:rsidRPr="00797EDC">
              <w:rPr>
                <w:rFonts w:ascii="Times New Roman" w:eastAsia="Calibri" w:hAnsi="Times New Roman" w:cs="Times New Roman"/>
                <w:sz w:val="24"/>
                <w:szCs w:val="24"/>
              </w:rPr>
              <w:t xml:space="preserve">toetatava </w:t>
            </w:r>
            <w:r w:rsidR="1A4D2A3F" w:rsidRPr="00797EDC">
              <w:rPr>
                <w:rFonts w:ascii="Times New Roman" w:eastAsiaTheme="minorEastAsia" w:hAnsi="Times New Roman" w:cs="Times New Roman"/>
                <w:sz w:val="24"/>
                <w:szCs w:val="24"/>
              </w:rPr>
              <w:t>e</w:t>
            </w:r>
            <w:r w:rsidR="5FEA66DF" w:rsidRPr="00797EDC">
              <w:rPr>
                <w:rFonts w:ascii="Times New Roman" w:eastAsiaTheme="minorEastAsia" w:hAnsi="Times New Roman" w:cs="Times New Roman"/>
                <w:sz w:val="24"/>
                <w:szCs w:val="24"/>
              </w:rPr>
              <w:t>lektrienergia koguse arvestusse</w:t>
            </w:r>
            <w:r w:rsidR="6BDC182D" w:rsidRPr="00797EDC">
              <w:rPr>
                <w:rFonts w:ascii="Times New Roman" w:eastAsiaTheme="minorEastAsia" w:hAnsi="Times New Roman" w:cs="Times New Roman"/>
                <w:sz w:val="24"/>
                <w:szCs w:val="24"/>
              </w:rPr>
              <w:t>.</w:t>
            </w:r>
            <w:r w:rsidR="208468AB" w:rsidRPr="00797EDC">
              <w:rPr>
                <w:rFonts w:ascii="Times New Roman" w:eastAsiaTheme="minorEastAsia" w:hAnsi="Times New Roman" w:cs="Times New Roman"/>
                <w:sz w:val="24"/>
                <w:szCs w:val="24"/>
              </w:rPr>
              <w:t xml:space="preserve"> </w:t>
            </w:r>
          </w:p>
        </w:tc>
      </w:tr>
      <w:tr w:rsidR="00AD72E2" w:rsidRPr="005C0F32" w14:paraId="5D923858" w14:textId="77777777" w:rsidTr="3199B330">
        <w:trPr>
          <w:trHeight w:val="300"/>
        </w:trPr>
        <w:tc>
          <w:tcPr>
            <w:tcW w:w="10710" w:type="dxa"/>
          </w:tcPr>
          <w:p w14:paraId="4440C57C" w14:textId="77777777" w:rsidR="00C84113" w:rsidRPr="00C84113" w:rsidRDefault="00C84113" w:rsidP="00C84113">
            <w:pPr>
              <w:tabs>
                <w:tab w:val="left" w:pos="6714"/>
              </w:tabs>
              <w:jc w:val="both"/>
              <w:rPr>
                <w:rFonts w:ascii="Times New Roman" w:eastAsia="Times New Roman" w:hAnsi="Times New Roman" w:cs="Times New Roman"/>
                <w:color w:val="000000"/>
                <w:sz w:val="24"/>
                <w:szCs w:val="24"/>
                <w:lang w:eastAsia="en-GB"/>
              </w:rPr>
            </w:pPr>
            <w:r w:rsidRPr="00C84113">
              <w:rPr>
                <w:rFonts w:ascii="Times New Roman" w:eastAsia="Times New Roman" w:hAnsi="Times New Roman" w:cs="Times New Roman"/>
                <w:color w:val="000000"/>
                <w:sz w:val="24"/>
                <w:szCs w:val="24"/>
                <w:lang w:eastAsia="en-GB"/>
              </w:rPr>
              <w:lastRenderedPageBreak/>
              <w:t>Eelnõus pakutav toetus ei ole „kahepoolne hinnavaheleping“, vaid „piiratud</w:t>
            </w:r>
          </w:p>
          <w:p w14:paraId="03E4EDD5" w14:textId="77777777" w:rsidR="00C84113" w:rsidRPr="00C84113" w:rsidRDefault="00C84113" w:rsidP="00C84113">
            <w:pPr>
              <w:tabs>
                <w:tab w:val="left" w:pos="6714"/>
              </w:tabs>
              <w:jc w:val="both"/>
              <w:rPr>
                <w:rFonts w:ascii="Times New Roman" w:eastAsia="Times New Roman" w:hAnsi="Times New Roman" w:cs="Times New Roman"/>
                <w:color w:val="000000"/>
                <w:sz w:val="24"/>
                <w:szCs w:val="24"/>
                <w:lang w:eastAsia="en-GB"/>
              </w:rPr>
            </w:pPr>
            <w:r w:rsidRPr="00C84113">
              <w:rPr>
                <w:rFonts w:ascii="Times New Roman" w:eastAsia="Times New Roman" w:hAnsi="Times New Roman" w:cs="Times New Roman"/>
                <w:color w:val="000000"/>
                <w:sz w:val="24"/>
                <w:szCs w:val="24"/>
                <w:lang w:eastAsia="en-GB"/>
              </w:rPr>
              <w:t>toetusmäära ja piiramatu tagasimakse kohustusega kahepoolne hinnavaheleping“</w:t>
            </w:r>
          </w:p>
          <w:p w14:paraId="0084B84F" w14:textId="77777777" w:rsidR="00C84113" w:rsidRPr="00C84113" w:rsidRDefault="00C84113" w:rsidP="00C84113">
            <w:pPr>
              <w:tabs>
                <w:tab w:val="left" w:pos="6714"/>
              </w:tabs>
              <w:jc w:val="both"/>
              <w:rPr>
                <w:rFonts w:ascii="Times New Roman" w:eastAsia="Times New Roman" w:hAnsi="Times New Roman" w:cs="Times New Roman"/>
                <w:color w:val="000000"/>
                <w:sz w:val="24"/>
                <w:szCs w:val="24"/>
                <w:lang w:eastAsia="en-GB"/>
              </w:rPr>
            </w:pPr>
            <w:r w:rsidRPr="00C84113">
              <w:rPr>
                <w:rFonts w:ascii="Times New Roman" w:eastAsia="Times New Roman" w:hAnsi="Times New Roman" w:cs="Times New Roman"/>
                <w:color w:val="000000"/>
                <w:sz w:val="24"/>
                <w:szCs w:val="24"/>
                <w:lang w:eastAsia="en-GB"/>
              </w:rPr>
              <w:t xml:space="preserve">(Eelnõu §1 punkt 25 on vastuolus kahepoolse </w:t>
            </w:r>
            <w:proofErr w:type="spellStart"/>
            <w:r w:rsidRPr="00C84113">
              <w:rPr>
                <w:rFonts w:ascii="Times New Roman" w:eastAsia="Times New Roman" w:hAnsi="Times New Roman" w:cs="Times New Roman"/>
                <w:color w:val="000000"/>
                <w:sz w:val="24"/>
                <w:szCs w:val="24"/>
                <w:lang w:eastAsia="en-GB"/>
              </w:rPr>
              <w:t>CfD</w:t>
            </w:r>
            <w:proofErr w:type="spellEnd"/>
            <w:r w:rsidRPr="00C84113">
              <w:rPr>
                <w:rFonts w:ascii="Times New Roman" w:eastAsia="Times New Roman" w:hAnsi="Times New Roman" w:cs="Times New Roman"/>
                <w:color w:val="000000"/>
                <w:sz w:val="24"/>
                <w:szCs w:val="24"/>
                <w:lang w:eastAsia="en-GB"/>
              </w:rPr>
              <w:t xml:space="preserve"> mõistega, paragrahvi 5910 lõige 6</w:t>
            </w:r>
          </w:p>
          <w:p w14:paraId="7E9F5D73" w14:textId="77777777" w:rsidR="00C84113" w:rsidRPr="00C84113" w:rsidRDefault="00C84113" w:rsidP="00C84113">
            <w:pPr>
              <w:tabs>
                <w:tab w:val="left" w:pos="6714"/>
              </w:tabs>
              <w:jc w:val="both"/>
              <w:rPr>
                <w:rFonts w:ascii="Times New Roman" w:eastAsia="Times New Roman" w:hAnsi="Times New Roman" w:cs="Times New Roman"/>
                <w:color w:val="000000"/>
                <w:sz w:val="24"/>
                <w:szCs w:val="24"/>
                <w:lang w:eastAsia="en-GB"/>
              </w:rPr>
            </w:pPr>
            <w:r w:rsidRPr="00C84113">
              <w:rPr>
                <w:rFonts w:ascii="Times New Roman" w:eastAsia="Times New Roman" w:hAnsi="Times New Roman" w:cs="Times New Roman"/>
                <w:color w:val="000000"/>
                <w:sz w:val="24"/>
                <w:szCs w:val="24"/>
                <w:lang w:eastAsia="en-GB"/>
              </w:rPr>
              <w:t>sisustab kahepoolse hinnavahelepingu ebaproportsionaalsena, pannes elektri tootjale</w:t>
            </w:r>
          </w:p>
          <w:p w14:paraId="42D1122B" w14:textId="77777777" w:rsidR="00C84113" w:rsidRPr="00C84113" w:rsidRDefault="00C84113" w:rsidP="00C84113">
            <w:pPr>
              <w:tabs>
                <w:tab w:val="left" w:pos="6714"/>
              </w:tabs>
              <w:jc w:val="both"/>
              <w:rPr>
                <w:rFonts w:ascii="Times New Roman" w:eastAsia="Times New Roman" w:hAnsi="Times New Roman" w:cs="Times New Roman"/>
                <w:color w:val="000000"/>
                <w:sz w:val="24"/>
                <w:szCs w:val="24"/>
                <w:lang w:eastAsia="en-GB"/>
              </w:rPr>
            </w:pPr>
            <w:r w:rsidRPr="00C84113">
              <w:rPr>
                <w:rFonts w:ascii="Times New Roman" w:eastAsia="Times New Roman" w:hAnsi="Times New Roman" w:cs="Times New Roman"/>
                <w:color w:val="000000"/>
                <w:sz w:val="24"/>
                <w:szCs w:val="24"/>
                <w:lang w:eastAsia="en-GB"/>
              </w:rPr>
              <w:t>kordades suurema riski kui toetuse maksjale. Kahepoolne hinnavaheleping on mõlemalt</w:t>
            </w:r>
          </w:p>
          <w:p w14:paraId="69B2D7B5" w14:textId="77777777" w:rsidR="00C84113" w:rsidRPr="00C84113" w:rsidRDefault="00C84113" w:rsidP="00C84113">
            <w:pPr>
              <w:tabs>
                <w:tab w:val="left" w:pos="6714"/>
              </w:tabs>
              <w:jc w:val="both"/>
              <w:rPr>
                <w:rFonts w:ascii="Times New Roman" w:eastAsia="Times New Roman" w:hAnsi="Times New Roman" w:cs="Times New Roman"/>
                <w:color w:val="000000"/>
                <w:sz w:val="24"/>
                <w:szCs w:val="24"/>
                <w:lang w:eastAsia="en-GB"/>
              </w:rPr>
            </w:pPr>
            <w:r w:rsidRPr="00C84113">
              <w:rPr>
                <w:rFonts w:ascii="Times New Roman" w:eastAsia="Times New Roman" w:hAnsi="Times New Roman" w:cs="Times New Roman"/>
                <w:color w:val="000000"/>
                <w:sz w:val="24"/>
                <w:szCs w:val="24"/>
                <w:lang w:eastAsia="en-GB"/>
              </w:rPr>
              <w:t>poolt ühesuguste õiguste ja kohustustega, et ta ei tekitaks tootjale ebaproportsionaalset</w:t>
            </w:r>
          </w:p>
          <w:p w14:paraId="0D0A1DAA" w14:textId="77777777" w:rsidR="00C84113" w:rsidRPr="00C84113" w:rsidRDefault="00C84113" w:rsidP="00C84113">
            <w:pPr>
              <w:tabs>
                <w:tab w:val="left" w:pos="6714"/>
              </w:tabs>
              <w:jc w:val="both"/>
              <w:rPr>
                <w:rFonts w:ascii="Times New Roman" w:eastAsia="Times New Roman" w:hAnsi="Times New Roman" w:cs="Times New Roman"/>
                <w:color w:val="000000"/>
                <w:sz w:val="24"/>
                <w:szCs w:val="24"/>
                <w:lang w:eastAsia="en-GB"/>
              </w:rPr>
            </w:pPr>
            <w:r w:rsidRPr="00C84113">
              <w:rPr>
                <w:rFonts w:ascii="Times New Roman" w:eastAsia="Times New Roman" w:hAnsi="Times New Roman" w:cs="Times New Roman"/>
                <w:color w:val="000000"/>
                <w:sz w:val="24"/>
                <w:szCs w:val="24"/>
                <w:lang w:eastAsia="en-GB"/>
              </w:rPr>
              <w:t>mõju ning ei tekitaks lisariski. Seetõttu ei ole eelnõus sätestatud kahepoolne</w:t>
            </w:r>
          </w:p>
          <w:p w14:paraId="5820AD3E" w14:textId="77777777" w:rsidR="00C84113" w:rsidRPr="00C84113" w:rsidRDefault="00C84113" w:rsidP="00C84113">
            <w:pPr>
              <w:tabs>
                <w:tab w:val="left" w:pos="6714"/>
              </w:tabs>
              <w:jc w:val="both"/>
              <w:rPr>
                <w:rFonts w:ascii="Times New Roman" w:eastAsia="Times New Roman" w:hAnsi="Times New Roman" w:cs="Times New Roman"/>
                <w:color w:val="000000"/>
                <w:sz w:val="24"/>
                <w:szCs w:val="24"/>
                <w:lang w:eastAsia="en-GB"/>
              </w:rPr>
            </w:pPr>
            <w:r w:rsidRPr="00C84113">
              <w:rPr>
                <w:rFonts w:ascii="Times New Roman" w:eastAsia="Times New Roman" w:hAnsi="Times New Roman" w:cs="Times New Roman"/>
                <w:color w:val="000000"/>
                <w:sz w:val="24"/>
                <w:szCs w:val="24"/>
                <w:lang w:eastAsia="en-GB"/>
              </w:rPr>
              <w:t>hinnavaheleping tasakaalus ning sellise ebaproportsionaalsuse mõju ei ole seletuskirjas</w:t>
            </w:r>
          </w:p>
          <w:p w14:paraId="78A2FCFC" w14:textId="77777777" w:rsidR="00C84113" w:rsidRPr="00C84113" w:rsidRDefault="00C84113" w:rsidP="00C84113">
            <w:pPr>
              <w:tabs>
                <w:tab w:val="left" w:pos="6714"/>
              </w:tabs>
              <w:jc w:val="both"/>
              <w:rPr>
                <w:rFonts w:ascii="Times New Roman" w:eastAsia="Times New Roman" w:hAnsi="Times New Roman" w:cs="Times New Roman"/>
                <w:color w:val="000000"/>
                <w:sz w:val="24"/>
                <w:szCs w:val="24"/>
                <w:lang w:eastAsia="en-GB"/>
              </w:rPr>
            </w:pPr>
            <w:r w:rsidRPr="28C849A4">
              <w:rPr>
                <w:rFonts w:ascii="Times New Roman" w:eastAsia="Times New Roman" w:hAnsi="Times New Roman" w:cs="Times New Roman"/>
                <w:color w:val="000000" w:themeColor="text1"/>
                <w:sz w:val="24"/>
                <w:szCs w:val="24"/>
                <w:lang w:eastAsia="en-GB"/>
              </w:rPr>
              <w:t>hinnatud. Kui eelnõu eesmärk on teha kahepoolne hinnavaheleping piiratud</w:t>
            </w:r>
          </w:p>
          <w:p w14:paraId="1FD04B1B" w14:textId="77777777" w:rsidR="00C84113" w:rsidRPr="00C84113" w:rsidRDefault="00C84113" w:rsidP="00C84113">
            <w:pPr>
              <w:tabs>
                <w:tab w:val="left" w:pos="6714"/>
              </w:tabs>
              <w:jc w:val="both"/>
              <w:rPr>
                <w:rFonts w:ascii="Times New Roman" w:eastAsia="Times New Roman" w:hAnsi="Times New Roman" w:cs="Times New Roman"/>
                <w:color w:val="000000"/>
                <w:sz w:val="24"/>
                <w:szCs w:val="24"/>
                <w:lang w:eastAsia="en-GB"/>
              </w:rPr>
            </w:pPr>
            <w:r w:rsidRPr="00C84113">
              <w:rPr>
                <w:rFonts w:ascii="Times New Roman" w:eastAsia="Times New Roman" w:hAnsi="Times New Roman" w:cs="Times New Roman"/>
                <w:color w:val="000000"/>
                <w:sz w:val="24"/>
                <w:szCs w:val="24"/>
                <w:lang w:eastAsia="en-GB"/>
              </w:rPr>
              <w:t>toetusmääraga, nagu on kirjutatud eelnõu seletuskirjas, siis tuleb ka tagasimakse suurus</w:t>
            </w:r>
          </w:p>
          <w:p w14:paraId="7677AC3A" w14:textId="14DE1285" w:rsidR="00AD72E2" w:rsidRPr="00AD72E2" w:rsidRDefault="00C84113" w:rsidP="00AD72E2">
            <w:pPr>
              <w:tabs>
                <w:tab w:val="left" w:pos="6714"/>
              </w:tabs>
              <w:jc w:val="both"/>
              <w:rPr>
                <w:rFonts w:ascii="Times New Roman" w:eastAsia="Times New Roman" w:hAnsi="Times New Roman" w:cs="Times New Roman"/>
                <w:color w:val="000000"/>
                <w:sz w:val="24"/>
                <w:szCs w:val="24"/>
                <w:lang w:eastAsia="en-GB"/>
              </w:rPr>
            </w:pPr>
            <w:r w:rsidRPr="28C849A4">
              <w:rPr>
                <w:rFonts w:ascii="Times New Roman" w:eastAsia="Times New Roman" w:hAnsi="Times New Roman" w:cs="Times New Roman"/>
                <w:color w:val="000000" w:themeColor="text1"/>
                <w:sz w:val="24"/>
                <w:szCs w:val="24"/>
                <w:lang w:eastAsia="en-GB"/>
              </w:rPr>
              <w:t>piirata sama väärtusega nagu on toetuse suurus</w:t>
            </w:r>
            <w:r w:rsidRPr="5B7920D9">
              <w:rPr>
                <w:rFonts w:ascii="Times New Roman" w:eastAsia="Times New Roman" w:hAnsi="Times New Roman" w:cs="Times New Roman"/>
                <w:color w:val="000000" w:themeColor="text1"/>
                <w:sz w:val="24"/>
                <w:szCs w:val="24"/>
                <w:lang w:eastAsia="en-GB"/>
              </w:rPr>
              <w:t>).</w:t>
            </w:r>
          </w:p>
        </w:tc>
        <w:tc>
          <w:tcPr>
            <w:tcW w:w="3282" w:type="dxa"/>
          </w:tcPr>
          <w:p w14:paraId="2FB3A193" w14:textId="6F25AC4D" w:rsidR="00AD72E2" w:rsidRPr="00797EDC" w:rsidRDefault="00A44846" w:rsidP="1FD60553">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Mittearvestatud</w:t>
            </w:r>
          </w:p>
          <w:p w14:paraId="43B34B3F" w14:textId="3A286D5B" w:rsidR="69ACF809" w:rsidRPr="00797EDC" w:rsidRDefault="69ACF809" w:rsidP="69ACF809">
            <w:pPr>
              <w:pStyle w:val="Loendilik"/>
              <w:ind w:left="-23"/>
              <w:jc w:val="both"/>
              <w:rPr>
                <w:rFonts w:ascii="Times New Roman" w:eastAsia="Calibri" w:hAnsi="Times New Roman" w:cs="Times New Roman"/>
                <w:b/>
                <w:bCs/>
                <w:sz w:val="24"/>
                <w:szCs w:val="24"/>
              </w:rPr>
            </w:pPr>
          </w:p>
          <w:p w14:paraId="6817367D" w14:textId="1DAA0F7E" w:rsidR="00A44846" w:rsidRPr="00797EDC" w:rsidRDefault="0065755C" w:rsidP="00927F4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Meie hinnangul</w:t>
            </w:r>
            <w:r w:rsidR="00927F43" w:rsidRPr="00797EDC">
              <w:rPr>
                <w:rFonts w:ascii="Times New Roman" w:eastAsia="Calibri" w:hAnsi="Times New Roman" w:cs="Times New Roman"/>
                <w:sz w:val="24"/>
                <w:szCs w:val="24"/>
              </w:rPr>
              <w:t xml:space="preserve"> </w:t>
            </w:r>
            <w:r w:rsidR="008E6213" w:rsidRPr="00797EDC">
              <w:rPr>
                <w:rFonts w:ascii="Times New Roman" w:eastAsia="Calibri" w:hAnsi="Times New Roman" w:cs="Times New Roman"/>
                <w:sz w:val="24"/>
                <w:szCs w:val="24"/>
              </w:rPr>
              <w:t xml:space="preserve">ei mõjuta </w:t>
            </w:r>
            <w:r w:rsidR="00927F43" w:rsidRPr="00797EDC">
              <w:rPr>
                <w:rFonts w:ascii="Times New Roman" w:eastAsia="Calibri" w:hAnsi="Times New Roman" w:cs="Times New Roman"/>
                <w:sz w:val="24"/>
                <w:szCs w:val="24"/>
              </w:rPr>
              <w:t>t</w:t>
            </w:r>
            <w:r w:rsidR="5A3AD2B7" w:rsidRPr="00797EDC">
              <w:rPr>
                <w:rFonts w:ascii="Times New Roman" w:eastAsia="Calibri" w:hAnsi="Times New Roman" w:cs="Times New Roman"/>
                <w:sz w:val="24"/>
                <w:szCs w:val="24"/>
              </w:rPr>
              <w:t>agasimaksekohustus</w:t>
            </w:r>
            <w:r w:rsidR="00927F43" w:rsidRPr="00797EDC">
              <w:rPr>
                <w:rFonts w:ascii="Times New Roman" w:eastAsia="Calibri" w:hAnsi="Times New Roman" w:cs="Times New Roman"/>
                <w:sz w:val="24"/>
                <w:szCs w:val="24"/>
              </w:rPr>
              <w:t xml:space="preserve">est tuleneva </w:t>
            </w:r>
            <w:r w:rsidR="00375A28" w:rsidRPr="00797EDC">
              <w:rPr>
                <w:rFonts w:ascii="Times New Roman" w:eastAsia="Calibri" w:hAnsi="Times New Roman" w:cs="Times New Roman"/>
                <w:sz w:val="24"/>
                <w:szCs w:val="24"/>
              </w:rPr>
              <w:t xml:space="preserve">tulu maht projekti </w:t>
            </w:r>
            <w:r w:rsidR="008E6213" w:rsidRPr="00797EDC">
              <w:rPr>
                <w:rFonts w:ascii="Times New Roman" w:eastAsia="Calibri" w:hAnsi="Times New Roman" w:cs="Times New Roman"/>
                <w:sz w:val="24"/>
                <w:szCs w:val="24"/>
              </w:rPr>
              <w:t xml:space="preserve">tulustsenaariumit piisavalt, et võimaldada </w:t>
            </w:r>
            <w:r w:rsidR="00C83DCF" w:rsidRPr="00797EDC">
              <w:rPr>
                <w:rFonts w:ascii="Times New Roman" w:eastAsia="Calibri" w:hAnsi="Times New Roman" w:cs="Times New Roman"/>
                <w:sz w:val="24"/>
                <w:szCs w:val="24"/>
              </w:rPr>
              <w:t xml:space="preserve">pakkumise hinda või meetme kulu märkimisväärselt vähendada. </w:t>
            </w:r>
            <w:r w:rsidR="0052127C">
              <w:rPr>
                <w:rFonts w:ascii="Times New Roman" w:eastAsia="Calibri" w:hAnsi="Times New Roman" w:cs="Times New Roman"/>
                <w:sz w:val="24"/>
                <w:szCs w:val="24"/>
              </w:rPr>
              <w:t>S</w:t>
            </w:r>
            <w:r w:rsidR="622B0B00" w:rsidRPr="00797EDC">
              <w:rPr>
                <w:rFonts w:ascii="Times New Roman" w:eastAsia="Calibri" w:hAnsi="Times New Roman" w:cs="Times New Roman"/>
                <w:sz w:val="24"/>
                <w:szCs w:val="24"/>
              </w:rPr>
              <w:t>amu</w:t>
            </w:r>
            <w:r w:rsidR="40D44A74" w:rsidRPr="00797EDC">
              <w:rPr>
                <w:rFonts w:ascii="Times New Roman" w:eastAsia="Calibri" w:hAnsi="Times New Roman" w:cs="Times New Roman"/>
                <w:sz w:val="24"/>
                <w:szCs w:val="24"/>
              </w:rPr>
              <w:t xml:space="preserve">ti on võimalik </w:t>
            </w:r>
            <w:r w:rsidR="00BE189C" w:rsidRPr="00797EDC">
              <w:rPr>
                <w:rFonts w:ascii="Times New Roman" w:eastAsia="Calibri" w:hAnsi="Times New Roman" w:cs="Times New Roman"/>
                <w:sz w:val="24"/>
                <w:szCs w:val="24"/>
              </w:rPr>
              <w:t>raja</w:t>
            </w:r>
            <w:r w:rsidR="00576666">
              <w:rPr>
                <w:rFonts w:ascii="Times New Roman" w:eastAsia="Calibri" w:hAnsi="Times New Roman" w:cs="Times New Roman"/>
                <w:sz w:val="24"/>
                <w:szCs w:val="24"/>
              </w:rPr>
              <w:t>da</w:t>
            </w:r>
            <w:r w:rsidR="00BE189C" w:rsidRPr="00797EDC">
              <w:rPr>
                <w:rFonts w:ascii="Times New Roman" w:eastAsia="Calibri" w:hAnsi="Times New Roman" w:cs="Times New Roman"/>
                <w:sz w:val="24"/>
                <w:szCs w:val="24"/>
              </w:rPr>
              <w:t xml:space="preserve"> tootmisvõimsuseid, mis ei osale riigi poolt pakutavas meetmes</w:t>
            </w:r>
            <w:r w:rsidR="00271D24" w:rsidRPr="00797EDC">
              <w:rPr>
                <w:rFonts w:ascii="Times New Roman" w:eastAsia="Calibri" w:hAnsi="Times New Roman" w:cs="Times New Roman"/>
                <w:sz w:val="24"/>
                <w:szCs w:val="24"/>
              </w:rPr>
              <w:t xml:space="preserve"> ning teenivad kogu turgudelt saadava tulu</w:t>
            </w:r>
            <w:r w:rsidR="40D44A74" w:rsidRPr="00797EDC">
              <w:rPr>
                <w:rFonts w:ascii="Times New Roman" w:eastAsia="Calibri" w:hAnsi="Times New Roman" w:cs="Times New Roman"/>
                <w:sz w:val="24"/>
                <w:szCs w:val="24"/>
              </w:rPr>
              <w:t>.</w:t>
            </w:r>
          </w:p>
        </w:tc>
      </w:tr>
      <w:tr w:rsidR="0014677B" w:rsidRPr="005C0F32" w14:paraId="2F7715F4" w14:textId="77777777" w:rsidTr="3199B330">
        <w:trPr>
          <w:trHeight w:val="300"/>
        </w:trPr>
        <w:tc>
          <w:tcPr>
            <w:tcW w:w="10710" w:type="dxa"/>
          </w:tcPr>
          <w:p w14:paraId="4563F2F6" w14:textId="77777777" w:rsidR="0014677B" w:rsidRPr="0014677B" w:rsidRDefault="0014677B" w:rsidP="0014677B">
            <w:pPr>
              <w:tabs>
                <w:tab w:val="left" w:pos="6714"/>
              </w:tabs>
              <w:jc w:val="both"/>
              <w:rPr>
                <w:rFonts w:ascii="Times New Roman" w:eastAsia="Times New Roman" w:hAnsi="Times New Roman" w:cs="Times New Roman"/>
                <w:color w:val="000000"/>
                <w:sz w:val="24"/>
                <w:szCs w:val="24"/>
                <w:lang w:eastAsia="en-GB"/>
              </w:rPr>
            </w:pPr>
            <w:r w:rsidRPr="0014677B">
              <w:rPr>
                <w:rFonts w:ascii="Times New Roman" w:eastAsia="Times New Roman" w:hAnsi="Times New Roman" w:cs="Times New Roman"/>
                <w:color w:val="000000"/>
                <w:sz w:val="24"/>
                <w:szCs w:val="24"/>
                <w:lang w:eastAsia="en-GB"/>
              </w:rPr>
              <w:t>Seletuskirja täiendamise vajadused seoses konkurentsivõimega ja energiaintensiivsete</w:t>
            </w:r>
          </w:p>
          <w:p w14:paraId="266CA734" w14:textId="77777777" w:rsidR="0014677B" w:rsidRPr="0014677B" w:rsidRDefault="0014677B" w:rsidP="0014677B">
            <w:pPr>
              <w:tabs>
                <w:tab w:val="left" w:pos="6714"/>
              </w:tabs>
              <w:jc w:val="both"/>
              <w:rPr>
                <w:rFonts w:ascii="Times New Roman" w:eastAsia="Times New Roman" w:hAnsi="Times New Roman" w:cs="Times New Roman"/>
                <w:color w:val="000000"/>
                <w:sz w:val="24"/>
                <w:szCs w:val="24"/>
                <w:lang w:eastAsia="en-GB"/>
              </w:rPr>
            </w:pPr>
            <w:r w:rsidRPr="0014677B">
              <w:rPr>
                <w:rFonts w:ascii="Times New Roman" w:eastAsia="Times New Roman" w:hAnsi="Times New Roman" w:cs="Times New Roman"/>
                <w:color w:val="000000"/>
                <w:sz w:val="24"/>
                <w:szCs w:val="24"/>
                <w:lang w:eastAsia="en-GB"/>
              </w:rPr>
              <w:t>tarbijate vaatega.</w:t>
            </w:r>
          </w:p>
          <w:p w14:paraId="31573595" w14:textId="77777777" w:rsidR="0014677B" w:rsidRPr="0014677B" w:rsidRDefault="0014677B" w:rsidP="0014677B">
            <w:pPr>
              <w:tabs>
                <w:tab w:val="left" w:pos="6714"/>
              </w:tabs>
              <w:jc w:val="both"/>
              <w:rPr>
                <w:rFonts w:ascii="Times New Roman" w:eastAsia="Times New Roman" w:hAnsi="Times New Roman" w:cs="Times New Roman"/>
                <w:color w:val="000000"/>
                <w:sz w:val="24"/>
                <w:szCs w:val="24"/>
                <w:lang w:eastAsia="en-GB"/>
              </w:rPr>
            </w:pPr>
            <w:r w:rsidRPr="0014677B">
              <w:rPr>
                <w:rFonts w:ascii="Times New Roman" w:eastAsia="Times New Roman" w:hAnsi="Times New Roman" w:cs="Times New Roman"/>
                <w:color w:val="000000"/>
                <w:sz w:val="24"/>
                <w:szCs w:val="24"/>
                <w:lang w:eastAsia="en-GB"/>
              </w:rPr>
              <w:t>Arusaamatuks jääb asjaolu, et miks on elektrihinna võrdlusbaasiks võetud kriisijärgse</w:t>
            </w:r>
          </w:p>
          <w:p w14:paraId="79AF57BD" w14:textId="77777777" w:rsidR="0014677B" w:rsidRPr="0014677B" w:rsidRDefault="0014677B" w:rsidP="0014677B">
            <w:pPr>
              <w:tabs>
                <w:tab w:val="left" w:pos="6714"/>
              </w:tabs>
              <w:jc w:val="both"/>
              <w:rPr>
                <w:rFonts w:ascii="Times New Roman" w:eastAsia="Times New Roman" w:hAnsi="Times New Roman" w:cs="Times New Roman"/>
                <w:color w:val="000000"/>
                <w:sz w:val="24"/>
                <w:szCs w:val="24"/>
                <w:lang w:eastAsia="en-GB"/>
              </w:rPr>
            </w:pPr>
            <w:r w:rsidRPr="0014677B">
              <w:rPr>
                <w:rFonts w:ascii="Times New Roman" w:eastAsia="Times New Roman" w:hAnsi="Times New Roman" w:cs="Times New Roman"/>
                <w:color w:val="000000"/>
                <w:sz w:val="24"/>
                <w:szCs w:val="24"/>
                <w:lang w:eastAsia="en-GB"/>
              </w:rPr>
              <w:t>mõjuga 2023. aasta, millal tööstuse konkurentsivõime (mh kõrgete/konkurentsivõimetute</w:t>
            </w:r>
          </w:p>
          <w:p w14:paraId="56C5D9DB" w14:textId="77777777" w:rsidR="0014677B" w:rsidRPr="0014677B" w:rsidRDefault="0014677B" w:rsidP="0014677B">
            <w:pPr>
              <w:tabs>
                <w:tab w:val="left" w:pos="6714"/>
              </w:tabs>
              <w:jc w:val="both"/>
              <w:rPr>
                <w:rFonts w:ascii="Times New Roman" w:eastAsia="Times New Roman" w:hAnsi="Times New Roman" w:cs="Times New Roman"/>
                <w:color w:val="000000"/>
                <w:sz w:val="24"/>
                <w:szCs w:val="24"/>
                <w:lang w:eastAsia="en-GB"/>
              </w:rPr>
            </w:pPr>
            <w:r w:rsidRPr="0014677B">
              <w:rPr>
                <w:rFonts w:ascii="Times New Roman" w:eastAsia="Times New Roman" w:hAnsi="Times New Roman" w:cs="Times New Roman"/>
                <w:color w:val="000000"/>
                <w:sz w:val="24"/>
                <w:szCs w:val="24"/>
                <w:lang w:eastAsia="en-GB"/>
              </w:rPr>
              <w:t>energiahindade tõttu) oli languses ja elektri turuhind Soomes oli Eesti hinnast pea 40%</w:t>
            </w:r>
          </w:p>
          <w:p w14:paraId="7F438B7C" w14:textId="77777777" w:rsidR="0014677B" w:rsidRPr="0014677B" w:rsidRDefault="0014677B" w:rsidP="0014677B">
            <w:pPr>
              <w:tabs>
                <w:tab w:val="left" w:pos="6714"/>
              </w:tabs>
              <w:jc w:val="both"/>
              <w:rPr>
                <w:rFonts w:ascii="Times New Roman" w:eastAsia="Times New Roman" w:hAnsi="Times New Roman" w:cs="Times New Roman"/>
                <w:color w:val="000000"/>
                <w:sz w:val="24"/>
                <w:szCs w:val="24"/>
                <w:lang w:eastAsia="en-GB"/>
              </w:rPr>
            </w:pPr>
            <w:r w:rsidRPr="0014677B">
              <w:rPr>
                <w:rFonts w:ascii="Times New Roman" w:eastAsia="Times New Roman" w:hAnsi="Times New Roman" w:cs="Times New Roman"/>
                <w:color w:val="000000"/>
                <w:sz w:val="24"/>
                <w:szCs w:val="24"/>
                <w:lang w:eastAsia="en-GB"/>
              </w:rPr>
              <w:t>odavam?</w:t>
            </w:r>
          </w:p>
          <w:p w14:paraId="5D4B0796" w14:textId="77777777" w:rsidR="0014677B" w:rsidRPr="0014677B" w:rsidRDefault="0014677B" w:rsidP="0014677B">
            <w:pPr>
              <w:tabs>
                <w:tab w:val="left" w:pos="6714"/>
              </w:tabs>
              <w:jc w:val="both"/>
              <w:rPr>
                <w:rFonts w:ascii="Times New Roman" w:eastAsia="Times New Roman" w:hAnsi="Times New Roman" w:cs="Times New Roman"/>
                <w:color w:val="000000"/>
                <w:sz w:val="24"/>
                <w:szCs w:val="24"/>
                <w:lang w:eastAsia="en-GB"/>
              </w:rPr>
            </w:pPr>
            <w:r w:rsidRPr="0014677B">
              <w:rPr>
                <w:rFonts w:ascii="Times New Roman" w:eastAsia="Times New Roman" w:hAnsi="Times New Roman" w:cs="Times New Roman"/>
                <w:color w:val="000000"/>
                <w:sz w:val="24"/>
                <w:szCs w:val="24"/>
                <w:lang w:eastAsia="en-GB"/>
              </w:rPr>
              <w:t>Samuti tuleks üle vaadata vastuolud eelnõu seletuskirjas, mis tekitavad kahtluse</w:t>
            </w:r>
          </w:p>
          <w:p w14:paraId="226EE2EE" w14:textId="77777777" w:rsidR="0014677B" w:rsidRPr="0014677B" w:rsidRDefault="0014677B" w:rsidP="0014677B">
            <w:pPr>
              <w:tabs>
                <w:tab w:val="left" w:pos="6714"/>
              </w:tabs>
              <w:jc w:val="both"/>
              <w:rPr>
                <w:rFonts w:ascii="Times New Roman" w:eastAsia="Times New Roman" w:hAnsi="Times New Roman" w:cs="Times New Roman"/>
                <w:color w:val="000000"/>
                <w:sz w:val="24"/>
                <w:szCs w:val="24"/>
                <w:lang w:eastAsia="en-GB"/>
              </w:rPr>
            </w:pPr>
            <w:r w:rsidRPr="0014677B">
              <w:rPr>
                <w:rFonts w:ascii="Times New Roman" w:eastAsia="Times New Roman" w:hAnsi="Times New Roman" w:cs="Times New Roman"/>
                <w:color w:val="000000"/>
                <w:sz w:val="24"/>
                <w:szCs w:val="24"/>
                <w:lang w:eastAsia="en-GB"/>
              </w:rPr>
              <w:t>taustaarvutuste õigsusest ja eelnõu mõjust ühiskonnale. Seletuskirja lugedes jäid silma</w:t>
            </w:r>
          </w:p>
          <w:p w14:paraId="13048B59" w14:textId="77777777" w:rsidR="0014677B" w:rsidRPr="0014677B" w:rsidRDefault="0014677B" w:rsidP="0014677B">
            <w:pPr>
              <w:tabs>
                <w:tab w:val="left" w:pos="6714"/>
              </w:tabs>
              <w:jc w:val="both"/>
              <w:rPr>
                <w:rFonts w:ascii="Times New Roman" w:eastAsia="Times New Roman" w:hAnsi="Times New Roman" w:cs="Times New Roman"/>
                <w:color w:val="000000"/>
                <w:sz w:val="24"/>
                <w:szCs w:val="24"/>
                <w:lang w:eastAsia="en-GB"/>
              </w:rPr>
            </w:pPr>
            <w:r w:rsidRPr="0014677B">
              <w:rPr>
                <w:rFonts w:ascii="Times New Roman" w:eastAsia="Times New Roman" w:hAnsi="Times New Roman" w:cs="Times New Roman"/>
                <w:color w:val="000000"/>
                <w:sz w:val="24"/>
                <w:szCs w:val="24"/>
                <w:lang w:eastAsia="en-GB"/>
              </w:rPr>
              <w:t>matemaatiline viga 140 miljonit eurot meretuuleparkide MW põhiseid kapitalikulusid</w:t>
            </w:r>
          </w:p>
          <w:p w14:paraId="3062825D" w14:textId="77777777" w:rsidR="0014677B" w:rsidRPr="0014677B" w:rsidRDefault="0014677B" w:rsidP="0014677B">
            <w:pPr>
              <w:tabs>
                <w:tab w:val="left" w:pos="6714"/>
              </w:tabs>
              <w:jc w:val="both"/>
              <w:rPr>
                <w:rFonts w:ascii="Times New Roman" w:eastAsia="Times New Roman" w:hAnsi="Times New Roman" w:cs="Times New Roman"/>
                <w:color w:val="000000"/>
                <w:sz w:val="24"/>
                <w:szCs w:val="24"/>
                <w:lang w:eastAsia="en-GB"/>
              </w:rPr>
            </w:pPr>
            <w:r w:rsidRPr="0014677B">
              <w:rPr>
                <w:rFonts w:ascii="Times New Roman" w:eastAsia="Times New Roman" w:hAnsi="Times New Roman" w:cs="Times New Roman"/>
                <w:color w:val="000000"/>
                <w:sz w:val="24"/>
                <w:szCs w:val="24"/>
                <w:lang w:eastAsia="en-GB"/>
              </w:rPr>
              <w:t>koguinvesteeringuteks teisendamisel. Nimelt 100 MW korda 4 miljonit eurot peaks olema</w:t>
            </w:r>
          </w:p>
          <w:p w14:paraId="15ABACDD" w14:textId="77777777" w:rsidR="0014677B" w:rsidRDefault="0014677B" w:rsidP="0014677B">
            <w:pPr>
              <w:tabs>
                <w:tab w:val="left" w:pos="6714"/>
              </w:tabs>
              <w:jc w:val="both"/>
              <w:rPr>
                <w:rFonts w:ascii="Times New Roman" w:eastAsia="Times New Roman" w:hAnsi="Times New Roman" w:cs="Times New Roman"/>
                <w:color w:val="000000"/>
                <w:sz w:val="24"/>
                <w:szCs w:val="24"/>
                <w:lang w:eastAsia="en-GB"/>
              </w:rPr>
            </w:pPr>
            <w:r w:rsidRPr="0014677B">
              <w:rPr>
                <w:rFonts w:ascii="Times New Roman" w:eastAsia="Times New Roman" w:hAnsi="Times New Roman" w:cs="Times New Roman"/>
                <w:color w:val="000000"/>
                <w:sz w:val="24"/>
                <w:szCs w:val="24"/>
                <w:lang w:eastAsia="en-GB"/>
              </w:rPr>
              <w:t>400 miljonit eurot, mitte 540 miljonit eurot.</w:t>
            </w:r>
          </w:p>
          <w:p w14:paraId="415212C0" w14:textId="77777777" w:rsidR="00180811" w:rsidRDefault="00180811" w:rsidP="0014677B">
            <w:pPr>
              <w:tabs>
                <w:tab w:val="left" w:pos="6714"/>
              </w:tabs>
              <w:jc w:val="both"/>
              <w:rPr>
                <w:rFonts w:ascii="Times New Roman" w:eastAsia="Times New Roman" w:hAnsi="Times New Roman" w:cs="Times New Roman"/>
                <w:color w:val="000000"/>
                <w:sz w:val="24"/>
                <w:szCs w:val="24"/>
                <w:lang w:eastAsia="en-GB"/>
              </w:rPr>
            </w:pPr>
          </w:p>
          <w:p w14:paraId="0F2269E0" w14:textId="77777777" w:rsidR="006C55B2" w:rsidRDefault="006C55B2" w:rsidP="0014677B">
            <w:pPr>
              <w:tabs>
                <w:tab w:val="left" w:pos="6714"/>
              </w:tabs>
              <w:jc w:val="both"/>
              <w:rPr>
                <w:rFonts w:ascii="Times New Roman" w:eastAsia="Times New Roman" w:hAnsi="Times New Roman" w:cs="Times New Roman"/>
                <w:color w:val="000000"/>
                <w:sz w:val="24"/>
                <w:szCs w:val="24"/>
                <w:lang w:eastAsia="en-GB"/>
              </w:rPr>
            </w:pPr>
            <w:r w:rsidRPr="006C55B2">
              <w:rPr>
                <w:rFonts w:ascii="Times New Roman" w:eastAsia="Times New Roman" w:hAnsi="Times New Roman" w:cs="Times New Roman"/>
                <w:noProof/>
                <w:color w:val="000000"/>
                <w:sz w:val="24"/>
                <w:szCs w:val="24"/>
                <w:lang w:eastAsia="en-GB"/>
              </w:rPr>
              <w:lastRenderedPageBreak/>
              <w:drawing>
                <wp:inline distT="0" distB="0" distL="0" distR="0" wp14:anchorId="205C2A4B" wp14:editId="08DB067B">
                  <wp:extent cx="5628640" cy="1745615"/>
                  <wp:effectExtent l="0" t="0" r="0" b="6985"/>
                  <wp:docPr id="80615821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8640" cy="1745615"/>
                          </a:xfrm>
                          <a:prstGeom prst="rect">
                            <a:avLst/>
                          </a:prstGeom>
                          <a:noFill/>
                          <a:ln>
                            <a:noFill/>
                          </a:ln>
                        </pic:spPr>
                      </pic:pic>
                    </a:graphicData>
                  </a:graphic>
                </wp:inline>
              </w:drawing>
            </w:r>
          </w:p>
          <w:p w14:paraId="7751039C" w14:textId="77777777" w:rsidR="00180811" w:rsidRDefault="00180811" w:rsidP="0014677B">
            <w:pPr>
              <w:tabs>
                <w:tab w:val="left" w:pos="6714"/>
              </w:tabs>
              <w:jc w:val="both"/>
              <w:rPr>
                <w:rFonts w:ascii="Times New Roman" w:eastAsia="Times New Roman" w:hAnsi="Times New Roman" w:cs="Times New Roman"/>
                <w:color w:val="000000"/>
                <w:sz w:val="24"/>
                <w:szCs w:val="24"/>
                <w:lang w:eastAsia="en-GB"/>
              </w:rPr>
            </w:pPr>
          </w:p>
          <w:p w14:paraId="4FCEC9AC" w14:textId="77777777" w:rsidR="00077509" w:rsidRPr="00077509" w:rsidRDefault="00077509" w:rsidP="00077509">
            <w:pPr>
              <w:tabs>
                <w:tab w:val="left" w:pos="6714"/>
              </w:tabs>
              <w:jc w:val="both"/>
              <w:rPr>
                <w:rFonts w:ascii="Times New Roman" w:eastAsia="Times New Roman" w:hAnsi="Times New Roman" w:cs="Times New Roman"/>
                <w:color w:val="000000"/>
                <w:sz w:val="24"/>
                <w:szCs w:val="24"/>
                <w:lang w:eastAsia="en-GB"/>
              </w:rPr>
            </w:pPr>
            <w:r w:rsidRPr="00077509">
              <w:rPr>
                <w:rFonts w:ascii="Times New Roman" w:eastAsia="Times New Roman" w:hAnsi="Times New Roman" w:cs="Times New Roman"/>
                <w:color w:val="000000"/>
                <w:sz w:val="24"/>
                <w:szCs w:val="24"/>
                <w:lang w:eastAsia="en-GB"/>
              </w:rPr>
              <w:t>Eelnõu seletuskirjas eeldatakse kõige tõenäolisemaks olukorda, kus toetuste poolel</w:t>
            </w:r>
          </w:p>
          <w:p w14:paraId="4B1BAA45" w14:textId="77777777" w:rsidR="00077509" w:rsidRPr="00077509" w:rsidRDefault="00077509" w:rsidP="00077509">
            <w:pPr>
              <w:tabs>
                <w:tab w:val="left" w:pos="6714"/>
              </w:tabs>
              <w:jc w:val="both"/>
              <w:rPr>
                <w:rFonts w:ascii="Times New Roman" w:eastAsia="Times New Roman" w:hAnsi="Times New Roman" w:cs="Times New Roman"/>
                <w:color w:val="000000"/>
                <w:sz w:val="24"/>
                <w:szCs w:val="24"/>
                <w:lang w:eastAsia="en-GB"/>
              </w:rPr>
            </w:pPr>
            <w:r w:rsidRPr="00077509">
              <w:rPr>
                <w:rFonts w:ascii="Times New Roman" w:eastAsia="Times New Roman" w:hAnsi="Times New Roman" w:cs="Times New Roman"/>
                <w:color w:val="000000"/>
                <w:sz w:val="24"/>
                <w:szCs w:val="24"/>
                <w:lang w:eastAsia="en-GB"/>
              </w:rPr>
              <w:t xml:space="preserve">rakendub </w:t>
            </w:r>
            <w:proofErr w:type="spellStart"/>
            <w:r w:rsidRPr="00077509">
              <w:rPr>
                <w:rFonts w:ascii="Times New Roman" w:eastAsia="Times New Roman" w:hAnsi="Times New Roman" w:cs="Times New Roman"/>
                <w:color w:val="000000"/>
                <w:sz w:val="24"/>
                <w:szCs w:val="24"/>
                <w:lang w:eastAsia="en-GB"/>
              </w:rPr>
              <w:t>stsenaarim</w:t>
            </w:r>
            <w:proofErr w:type="spellEnd"/>
            <w:r w:rsidRPr="00077509">
              <w:rPr>
                <w:rFonts w:ascii="Times New Roman" w:eastAsia="Times New Roman" w:hAnsi="Times New Roman" w:cs="Times New Roman"/>
                <w:color w:val="000000"/>
                <w:sz w:val="24"/>
                <w:szCs w:val="24"/>
                <w:lang w:eastAsia="en-GB"/>
              </w:rPr>
              <w:t xml:space="preserve"> 4+2 (vt lk 27) ja mille lisakulu on 130 miljonit eurot ja mille täiendav</w:t>
            </w:r>
          </w:p>
          <w:p w14:paraId="7F5FEA49" w14:textId="77777777" w:rsidR="00077509" w:rsidRPr="00077509" w:rsidRDefault="00077509" w:rsidP="00077509">
            <w:pPr>
              <w:tabs>
                <w:tab w:val="left" w:pos="6714"/>
              </w:tabs>
              <w:jc w:val="both"/>
              <w:rPr>
                <w:rFonts w:ascii="Times New Roman" w:eastAsia="Times New Roman" w:hAnsi="Times New Roman" w:cs="Times New Roman"/>
                <w:color w:val="000000"/>
                <w:sz w:val="24"/>
                <w:szCs w:val="24"/>
                <w:lang w:eastAsia="en-GB"/>
              </w:rPr>
            </w:pPr>
            <w:r w:rsidRPr="00077509">
              <w:rPr>
                <w:rFonts w:ascii="Times New Roman" w:eastAsia="Times New Roman" w:hAnsi="Times New Roman" w:cs="Times New Roman"/>
                <w:color w:val="000000"/>
                <w:sz w:val="24"/>
                <w:szCs w:val="24"/>
                <w:lang w:eastAsia="en-GB"/>
              </w:rPr>
              <w:t>mõju tarbijatele Eleringi tarbimismahu stsenaariumi järgi on 7 EUR/MWh (1,1</w:t>
            </w:r>
          </w:p>
          <w:p w14:paraId="1DABEED4" w14:textId="77777777" w:rsidR="00077509" w:rsidRPr="00077509" w:rsidRDefault="00077509" w:rsidP="00077509">
            <w:pPr>
              <w:tabs>
                <w:tab w:val="left" w:pos="6714"/>
              </w:tabs>
              <w:jc w:val="both"/>
              <w:rPr>
                <w:rFonts w:ascii="Times New Roman" w:eastAsia="Times New Roman" w:hAnsi="Times New Roman" w:cs="Times New Roman"/>
                <w:color w:val="000000"/>
                <w:sz w:val="24"/>
                <w:szCs w:val="24"/>
                <w:lang w:eastAsia="en-GB"/>
              </w:rPr>
            </w:pPr>
            <w:proofErr w:type="spellStart"/>
            <w:r w:rsidRPr="00077509">
              <w:rPr>
                <w:rFonts w:ascii="Times New Roman" w:eastAsia="Times New Roman" w:hAnsi="Times New Roman" w:cs="Times New Roman"/>
                <w:color w:val="000000"/>
                <w:sz w:val="24"/>
                <w:szCs w:val="24"/>
                <w:lang w:eastAsia="en-GB"/>
              </w:rPr>
              <w:t>EURs</w:t>
            </w:r>
            <w:proofErr w:type="spellEnd"/>
            <w:r w:rsidRPr="00077509">
              <w:rPr>
                <w:rFonts w:ascii="Times New Roman" w:eastAsia="Times New Roman" w:hAnsi="Times New Roman" w:cs="Times New Roman"/>
                <w:color w:val="000000"/>
                <w:sz w:val="24"/>
                <w:szCs w:val="24"/>
                <w:lang w:eastAsia="en-GB"/>
              </w:rPr>
              <w:t xml:space="preserve">/kWh versus 1,9 </w:t>
            </w:r>
            <w:proofErr w:type="spellStart"/>
            <w:r w:rsidRPr="00077509">
              <w:rPr>
                <w:rFonts w:ascii="Times New Roman" w:eastAsia="Times New Roman" w:hAnsi="Times New Roman" w:cs="Times New Roman"/>
                <w:color w:val="000000"/>
                <w:sz w:val="24"/>
                <w:szCs w:val="24"/>
                <w:lang w:eastAsia="en-GB"/>
              </w:rPr>
              <w:t>EURs</w:t>
            </w:r>
            <w:proofErr w:type="spellEnd"/>
            <w:r w:rsidRPr="00077509">
              <w:rPr>
                <w:rFonts w:ascii="Times New Roman" w:eastAsia="Times New Roman" w:hAnsi="Times New Roman" w:cs="Times New Roman"/>
                <w:color w:val="000000"/>
                <w:sz w:val="24"/>
                <w:szCs w:val="24"/>
                <w:lang w:eastAsia="en-GB"/>
              </w:rPr>
              <w:t>/kWh, vt lk 28). Samas tekstis viidatakse seletuskirja üleselt,</w:t>
            </w:r>
          </w:p>
          <w:p w14:paraId="67F5FBAD" w14:textId="77777777" w:rsidR="00077509" w:rsidRPr="00077509" w:rsidRDefault="00077509" w:rsidP="00077509">
            <w:pPr>
              <w:tabs>
                <w:tab w:val="left" w:pos="6714"/>
              </w:tabs>
              <w:jc w:val="both"/>
              <w:rPr>
                <w:rFonts w:ascii="Times New Roman" w:eastAsia="Times New Roman" w:hAnsi="Times New Roman" w:cs="Times New Roman"/>
                <w:color w:val="000000"/>
                <w:sz w:val="24"/>
                <w:szCs w:val="24"/>
                <w:lang w:eastAsia="en-GB"/>
              </w:rPr>
            </w:pPr>
            <w:r w:rsidRPr="00077509">
              <w:rPr>
                <w:rFonts w:ascii="Times New Roman" w:eastAsia="Times New Roman" w:hAnsi="Times New Roman" w:cs="Times New Roman"/>
                <w:color w:val="000000"/>
                <w:sz w:val="24"/>
                <w:szCs w:val="24"/>
                <w:lang w:eastAsia="en-GB"/>
              </w:rPr>
              <w:t>et mõju võib muutuda tarbijale soodsamaks, kuid võimalikku riski kulu suurenemiseks</w:t>
            </w:r>
          </w:p>
          <w:p w14:paraId="62C512AF" w14:textId="77777777" w:rsidR="00077509" w:rsidRPr="00077509" w:rsidRDefault="00077509" w:rsidP="00077509">
            <w:pPr>
              <w:tabs>
                <w:tab w:val="left" w:pos="6714"/>
              </w:tabs>
              <w:jc w:val="both"/>
              <w:rPr>
                <w:rFonts w:ascii="Times New Roman" w:eastAsia="Times New Roman" w:hAnsi="Times New Roman" w:cs="Times New Roman"/>
                <w:color w:val="000000"/>
                <w:sz w:val="24"/>
                <w:szCs w:val="24"/>
                <w:lang w:eastAsia="en-GB"/>
              </w:rPr>
            </w:pPr>
            <w:r w:rsidRPr="00077509">
              <w:rPr>
                <w:rFonts w:ascii="Times New Roman" w:eastAsia="Times New Roman" w:hAnsi="Times New Roman" w:cs="Times New Roman"/>
                <w:color w:val="000000"/>
                <w:sz w:val="24"/>
                <w:szCs w:val="24"/>
                <w:lang w:eastAsia="en-GB"/>
              </w:rPr>
              <w:t>ei arvestata. Kas tabelid on pigem vormitäiteks kui olukord peaks reaalselt halvenema?</w:t>
            </w:r>
          </w:p>
          <w:p w14:paraId="3D6AA090" w14:textId="77777777" w:rsidR="00077509" w:rsidRPr="00077509" w:rsidRDefault="00077509" w:rsidP="00077509">
            <w:pPr>
              <w:tabs>
                <w:tab w:val="left" w:pos="6714"/>
              </w:tabs>
              <w:jc w:val="both"/>
              <w:rPr>
                <w:rFonts w:ascii="Times New Roman" w:eastAsia="Times New Roman" w:hAnsi="Times New Roman" w:cs="Times New Roman"/>
                <w:color w:val="000000"/>
                <w:sz w:val="24"/>
                <w:szCs w:val="24"/>
                <w:lang w:eastAsia="en-GB"/>
              </w:rPr>
            </w:pPr>
            <w:r w:rsidRPr="00077509">
              <w:rPr>
                <w:rFonts w:ascii="Times New Roman" w:eastAsia="Times New Roman" w:hAnsi="Times New Roman" w:cs="Times New Roman"/>
                <w:color w:val="000000"/>
                <w:sz w:val="24"/>
                <w:szCs w:val="24"/>
                <w:lang w:eastAsia="en-GB"/>
              </w:rPr>
              <w:t>Näiteks energiaintensiivsele tööstusele võibolla antud vahe aastas olla lisakuluna summas</w:t>
            </w:r>
          </w:p>
          <w:p w14:paraId="3E9E77C0" w14:textId="77777777" w:rsidR="00077509" w:rsidRPr="00077509" w:rsidRDefault="00077509" w:rsidP="00077509">
            <w:pPr>
              <w:tabs>
                <w:tab w:val="left" w:pos="6714"/>
              </w:tabs>
              <w:jc w:val="both"/>
              <w:rPr>
                <w:rFonts w:ascii="Times New Roman" w:eastAsia="Times New Roman" w:hAnsi="Times New Roman" w:cs="Times New Roman"/>
                <w:color w:val="000000"/>
                <w:sz w:val="24"/>
                <w:szCs w:val="24"/>
                <w:lang w:eastAsia="en-GB"/>
              </w:rPr>
            </w:pPr>
            <w:r w:rsidRPr="00077509">
              <w:rPr>
                <w:rFonts w:ascii="Times New Roman" w:eastAsia="Times New Roman" w:hAnsi="Times New Roman" w:cs="Times New Roman"/>
                <w:color w:val="000000"/>
                <w:sz w:val="24"/>
                <w:szCs w:val="24"/>
                <w:lang w:eastAsia="en-GB"/>
              </w:rPr>
              <w:t>1,5 miljonit eurot ehk eelnõu vajab kindlasti täiendavat mõjuanalüüsi täiendavate</w:t>
            </w:r>
          </w:p>
          <w:p w14:paraId="63E513F4" w14:textId="77777777" w:rsidR="00077509" w:rsidRDefault="00077509" w:rsidP="00077509">
            <w:pPr>
              <w:tabs>
                <w:tab w:val="left" w:pos="6714"/>
              </w:tabs>
              <w:jc w:val="both"/>
              <w:rPr>
                <w:rFonts w:ascii="Times New Roman" w:eastAsia="Times New Roman" w:hAnsi="Times New Roman" w:cs="Times New Roman"/>
                <w:color w:val="000000"/>
                <w:sz w:val="24"/>
                <w:szCs w:val="24"/>
                <w:lang w:eastAsia="en-GB"/>
              </w:rPr>
            </w:pPr>
            <w:r w:rsidRPr="00077509">
              <w:rPr>
                <w:rFonts w:ascii="Times New Roman" w:eastAsia="Times New Roman" w:hAnsi="Times New Roman" w:cs="Times New Roman"/>
                <w:color w:val="000000"/>
                <w:sz w:val="24"/>
                <w:szCs w:val="24"/>
                <w:lang w:eastAsia="en-GB"/>
              </w:rPr>
              <w:t>kulude osas.</w:t>
            </w:r>
          </w:p>
          <w:p w14:paraId="76E5D3C3" w14:textId="651F8F7E" w:rsidR="0014677B" w:rsidRPr="00C84113" w:rsidRDefault="00077509" w:rsidP="0014677B">
            <w:pPr>
              <w:tabs>
                <w:tab w:val="left" w:pos="6714"/>
              </w:tabs>
              <w:jc w:val="both"/>
              <w:rPr>
                <w:rFonts w:ascii="Times New Roman" w:eastAsia="Times New Roman" w:hAnsi="Times New Roman" w:cs="Times New Roman"/>
                <w:color w:val="000000"/>
                <w:sz w:val="24"/>
                <w:szCs w:val="24"/>
                <w:lang w:eastAsia="en-GB"/>
              </w:rPr>
            </w:pPr>
            <w:r w:rsidRPr="00077509">
              <w:rPr>
                <w:rFonts w:ascii="Times New Roman" w:eastAsia="Times New Roman" w:hAnsi="Times New Roman" w:cs="Times New Roman"/>
                <w:noProof/>
                <w:color w:val="000000"/>
                <w:sz w:val="24"/>
                <w:szCs w:val="24"/>
                <w:lang w:eastAsia="en-GB"/>
              </w:rPr>
              <w:drawing>
                <wp:inline distT="0" distB="0" distL="0" distR="0" wp14:anchorId="1DEBAB06" wp14:editId="71CD1EB2">
                  <wp:extent cx="6115685" cy="1056640"/>
                  <wp:effectExtent l="0" t="0" r="0" b="0"/>
                  <wp:docPr id="1978384174"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685" cy="1056640"/>
                          </a:xfrm>
                          <a:prstGeom prst="rect">
                            <a:avLst/>
                          </a:prstGeom>
                          <a:noFill/>
                          <a:ln>
                            <a:noFill/>
                          </a:ln>
                        </pic:spPr>
                      </pic:pic>
                    </a:graphicData>
                  </a:graphic>
                </wp:inline>
              </w:drawing>
            </w:r>
          </w:p>
        </w:tc>
        <w:tc>
          <w:tcPr>
            <w:tcW w:w="3282" w:type="dxa"/>
          </w:tcPr>
          <w:p w14:paraId="1B4C27A5" w14:textId="3897CE48" w:rsidR="0014677B" w:rsidRPr="00797EDC" w:rsidRDefault="00752A53" w:rsidP="69ACF809">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Selgitame</w:t>
            </w:r>
          </w:p>
          <w:p w14:paraId="5EE212F2" w14:textId="3ACB402B" w:rsidR="0014677B" w:rsidRPr="00797EDC" w:rsidRDefault="0014677B" w:rsidP="69ACF809">
            <w:pPr>
              <w:pStyle w:val="Loendilik"/>
              <w:ind w:left="-23"/>
              <w:jc w:val="both"/>
              <w:rPr>
                <w:rFonts w:ascii="Times New Roman" w:eastAsia="Calibri" w:hAnsi="Times New Roman" w:cs="Times New Roman"/>
                <w:b/>
                <w:bCs/>
                <w:sz w:val="24"/>
                <w:szCs w:val="24"/>
              </w:rPr>
            </w:pPr>
          </w:p>
          <w:p w14:paraId="69F9CE95" w14:textId="4D260D49" w:rsidR="0014677B" w:rsidRPr="00797EDC" w:rsidRDefault="00752A53" w:rsidP="1FD60553">
            <w:pPr>
              <w:pStyle w:val="Loendilik"/>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Maksumuste erinevu</w:t>
            </w:r>
            <w:r w:rsidR="00775A5A" w:rsidRPr="00797EDC">
              <w:rPr>
                <w:rFonts w:ascii="Times New Roman" w:eastAsia="Calibri" w:hAnsi="Times New Roman" w:cs="Times New Roman"/>
                <w:sz w:val="24"/>
                <w:szCs w:val="24"/>
              </w:rPr>
              <w:t>s</w:t>
            </w:r>
            <w:r w:rsidRPr="00797EDC">
              <w:rPr>
                <w:rFonts w:ascii="Times New Roman" w:eastAsia="Calibri" w:hAnsi="Times New Roman" w:cs="Times New Roman"/>
                <w:sz w:val="24"/>
                <w:szCs w:val="24"/>
              </w:rPr>
              <w:t xml:space="preserve"> meretuuleparkide </w:t>
            </w:r>
            <w:r w:rsidR="00775A5A" w:rsidRPr="00797EDC">
              <w:rPr>
                <w:rFonts w:ascii="Times New Roman" w:eastAsia="Calibri" w:hAnsi="Times New Roman" w:cs="Times New Roman"/>
                <w:sz w:val="24"/>
                <w:szCs w:val="24"/>
              </w:rPr>
              <w:t xml:space="preserve">koguinvesteeringute esitamiseks </w:t>
            </w:r>
            <w:r w:rsidR="007717ED" w:rsidRPr="00797EDC">
              <w:rPr>
                <w:rFonts w:ascii="Times New Roman" w:eastAsia="Calibri" w:hAnsi="Times New Roman" w:cs="Times New Roman"/>
                <w:sz w:val="24"/>
                <w:szCs w:val="24"/>
              </w:rPr>
              <w:t xml:space="preserve">tuleneb </w:t>
            </w:r>
            <w:r w:rsidR="00657276" w:rsidRPr="00797EDC">
              <w:rPr>
                <w:rFonts w:ascii="Times New Roman" w:eastAsia="Calibri" w:hAnsi="Times New Roman" w:cs="Times New Roman"/>
                <w:sz w:val="24"/>
                <w:szCs w:val="24"/>
              </w:rPr>
              <w:t>näitena esitatud 100 MW-</w:t>
            </w:r>
            <w:proofErr w:type="spellStart"/>
            <w:r w:rsidR="00657276" w:rsidRPr="00797EDC">
              <w:rPr>
                <w:rFonts w:ascii="Times New Roman" w:eastAsia="Calibri" w:hAnsi="Times New Roman" w:cs="Times New Roman"/>
                <w:sz w:val="24"/>
                <w:szCs w:val="24"/>
              </w:rPr>
              <w:t>lise</w:t>
            </w:r>
            <w:proofErr w:type="spellEnd"/>
            <w:r w:rsidR="00657276" w:rsidRPr="00797EDC">
              <w:rPr>
                <w:rFonts w:ascii="Times New Roman" w:eastAsia="Calibri" w:hAnsi="Times New Roman" w:cs="Times New Roman"/>
                <w:sz w:val="24"/>
                <w:szCs w:val="24"/>
              </w:rPr>
              <w:t xml:space="preserve"> meretuulepargi </w:t>
            </w:r>
            <w:r w:rsidR="001B07FB">
              <w:rPr>
                <w:rFonts w:ascii="Times New Roman" w:eastAsia="Calibri" w:hAnsi="Times New Roman" w:cs="Times New Roman"/>
                <w:sz w:val="24"/>
                <w:szCs w:val="24"/>
              </w:rPr>
              <w:t>suurusest</w:t>
            </w:r>
            <w:r w:rsidR="000C0C26" w:rsidRPr="00797EDC">
              <w:rPr>
                <w:rFonts w:ascii="Times New Roman" w:eastAsia="Calibri" w:hAnsi="Times New Roman" w:cs="Times New Roman"/>
                <w:sz w:val="24"/>
                <w:szCs w:val="24"/>
              </w:rPr>
              <w:t xml:space="preserve">. Suuremate meretuuleparkide puhul rakenduv mastaabiefekt vähendab </w:t>
            </w:r>
            <w:r w:rsidR="004D6FA0" w:rsidRPr="00797EDC">
              <w:rPr>
                <w:rFonts w:ascii="Times New Roman" w:eastAsia="Calibri" w:hAnsi="Times New Roman" w:cs="Times New Roman"/>
                <w:sz w:val="24"/>
                <w:szCs w:val="24"/>
              </w:rPr>
              <w:t>suuremate meretuuleparkide kapitaliinvesteeringu kulu.</w:t>
            </w:r>
          </w:p>
        </w:tc>
      </w:tr>
      <w:tr w:rsidR="00886354" w:rsidRPr="005C0F32" w14:paraId="6DCD2548" w14:textId="77777777" w:rsidTr="3199B330">
        <w:trPr>
          <w:trHeight w:val="300"/>
        </w:trPr>
        <w:tc>
          <w:tcPr>
            <w:tcW w:w="10710" w:type="dxa"/>
          </w:tcPr>
          <w:p w14:paraId="2AABB09D" w14:textId="6B102EC7" w:rsidR="00886354" w:rsidRPr="00886354" w:rsidRDefault="00886354" w:rsidP="0014677B">
            <w:pPr>
              <w:tabs>
                <w:tab w:val="left" w:pos="6714"/>
              </w:tabs>
              <w:jc w:val="both"/>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Rahandusministeerium</w:t>
            </w:r>
          </w:p>
        </w:tc>
        <w:tc>
          <w:tcPr>
            <w:tcW w:w="3282" w:type="dxa"/>
          </w:tcPr>
          <w:p w14:paraId="17A34650" w14:textId="77777777" w:rsidR="00886354" w:rsidRPr="00797EDC" w:rsidRDefault="00886354" w:rsidP="69ACF809">
            <w:pPr>
              <w:pStyle w:val="Loendilik"/>
              <w:ind w:left="-23"/>
              <w:jc w:val="both"/>
              <w:rPr>
                <w:rFonts w:ascii="Times New Roman" w:eastAsia="Calibri" w:hAnsi="Times New Roman" w:cs="Times New Roman"/>
                <w:b/>
                <w:bCs/>
                <w:sz w:val="24"/>
                <w:szCs w:val="24"/>
              </w:rPr>
            </w:pPr>
          </w:p>
        </w:tc>
      </w:tr>
      <w:tr w:rsidR="00886354" w:rsidRPr="001C41A6" w14:paraId="7153E72C" w14:textId="77777777" w:rsidTr="3199B330">
        <w:trPr>
          <w:trHeight w:val="300"/>
        </w:trPr>
        <w:tc>
          <w:tcPr>
            <w:tcW w:w="10710" w:type="dxa"/>
          </w:tcPr>
          <w:p w14:paraId="54B4823B" w14:textId="2E50D797" w:rsidR="00886354" w:rsidRPr="001C41A6" w:rsidRDefault="00886354" w:rsidP="0014677B">
            <w:pPr>
              <w:tabs>
                <w:tab w:val="left" w:pos="6714"/>
              </w:tabs>
              <w:jc w:val="both"/>
              <w:rPr>
                <w:rFonts w:ascii="Times New Roman" w:eastAsia="Times New Roman" w:hAnsi="Times New Roman" w:cs="Times New Roman"/>
                <w:color w:val="000000"/>
                <w:sz w:val="24"/>
                <w:szCs w:val="24"/>
                <w:lang w:eastAsia="en-GB"/>
              </w:rPr>
            </w:pPr>
            <w:r w:rsidRPr="001C41A6">
              <w:rPr>
                <w:rFonts w:ascii="Times New Roman" w:hAnsi="Times New Roman" w:cs="Times New Roman"/>
                <w:sz w:val="24"/>
                <w:szCs w:val="24"/>
              </w:rPr>
              <w:t>1. Eelnõus ja seletuskirjas tundub olevat samatähenduslikult läbisegi kasutatud termineid „vähempakkumise läbiviija“, „riik“, „põhivõrguettevõtja“, „võrguettevõtja“. Seletuskirjas on nimetatud põhivõrguettevõtjana ka Elering AS-i. Samuti on läbisegi kasutusel terminid „tootja“, „abisaaja“, „toetuse saaja“, „pakkuja“, „pakkumises esitatud hind“, „täitmishind“ ja „pakkumise hind (</w:t>
            </w:r>
            <w:proofErr w:type="spellStart"/>
            <w:r w:rsidRPr="001C41A6">
              <w:rPr>
                <w:rFonts w:ascii="Times New Roman" w:hAnsi="Times New Roman" w:cs="Times New Roman"/>
                <w:sz w:val="24"/>
                <w:szCs w:val="24"/>
              </w:rPr>
              <w:t>strike</w:t>
            </w:r>
            <w:proofErr w:type="spellEnd"/>
            <w:r w:rsidRPr="001C41A6">
              <w:rPr>
                <w:rFonts w:ascii="Times New Roman" w:hAnsi="Times New Roman" w:cs="Times New Roman"/>
                <w:sz w:val="24"/>
                <w:szCs w:val="24"/>
              </w:rPr>
              <w:t xml:space="preserve"> </w:t>
            </w:r>
            <w:proofErr w:type="spellStart"/>
            <w:r w:rsidRPr="001C41A6">
              <w:rPr>
                <w:rFonts w:ascii="Times New Roman" w:hAnsi="Times New Roman" w:cs="Times New Roman"/>
                <w:sz w:val="24"/>
                <w:szCs w:val="24"/>
              </w:rPr>
              <w:t>price</w:t>
            </w:r>
            <w:proofErr w:type="spellEnd"/>
            <w:r w:rsidRPr="001C41A6">
              <w:rPr>
                <w:rFonts w:ascii="Times New Roman" w:hAnsi="Times New Roman" w:cs="Times New Roman"/>
                <w:sz w:val="24"/>
                <w:szCs w:val="24"/>
              </w:rPr>
              <w:t>)“ ja samuti läbisegi kasutuses „turuhind“, „võrdlushind“ ja „toodanguühiku turuhind“. Eelnevalt nimetatud terminite näol on tegemist eelnõu kesksete mõistetega, millel on õigusselguse tagamisel määrav roll, mistõttu palume tervikuna eelnõus ja seletuskirjas mõistete kasutus üle vaadata ja korrastada.</w:t>
            </w:r>
          </w:p>
        </w:tc>
        <w:tc>
          <w:tcPr>
            <w:tcW w:w="3282" w:type="dxa"/>
          </w:tcPr>
          <w:p w14:paraId="145B937E" w14:textId="77777777" w:rsidR="00886354" w:rsidRPr="00797EDC" w:rsidRDefault="00070588" w:rsidP="69ACF809">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Osaliselt arvestatud</w:t>
            </w:r>
          </w:p>
          <w:p w14:paraId="2BF501D4" w14:textId="3FD4F46E" w:rsidR="00070588" w:rsidRPr="00017A4F" w:rsidRDefault="00873D8E" w:rsidP="00017A4F">
            <w:pPr>
              <w:jc w:val="both"/>
              <w:rPr>
                <w:rFonts w:ascii="Times New Roman" w:eastAsia="Calibri" w:hAnsi="Times New Roman" w:cs="Times New Roman"/>
                <w:sz w:val="24"/>
                <w:szCs w:val="24"/>
              </w:rPr>
            </w:pPr>
            <w:r>
              <w:rPr>
                <w:rFonts w:ascii="Times New Roman" w:eastAsia="Calibri" w:hAnsi="Times New Roman" w:cs="Times New Roman"/>
                <w:sz w:val="24"/>
                <w:szCs w:val="24"/>
              </w:rPr>
              <w:t>E</w:t>
            </w:r>
            <w:r w:rsidR="00166B55" w:rsidRPr="00017A4F">
              <w:rPr>
                <w:rFonts w:ascii="Times New Roman" w:eastAsia="Calibri" w:hAnsi="Times New Roman" w:cs="Times New Roman"/>
                <w:sz w:val="24"/>
                <w:szCs w:val="24"/>
              </w:rPr>
              <w:t>elnõu</w:t>
            </w:r>
            <w:r w:rsidR="19655B20" w:rsidRPr="00017A4F">
              <w:rPr>
                <w:rFonts w:ascii="Times New Roman" w:eastAsia="Calibri" w:hAnsi="Times New Roman" w:cs="Times New Roman"/>
                <w:sz w:val="24"/>
                <w:szCs w:val="24"/>
              </w:rPr>
              <w:t>d</w:t>
            </w:r>
            <w:r w:rsidR="00166B55" w:rsidRPr="00017A4F">
              <w:rPr>
                <w:rFonts w:ascii="Times New Roman" w:eastAsia="Calibri" w:hAnsi="Times New Roman" w:cs="Times New Roman"/>
                <w:sz w:val="24"/>
                <w:szCs w:val="24"/>
              </w:rPr>
              <w:t xml:space="preserve"> ja seletuskirja</w:t>
            </w:r>
            <w:r>
              <w:rPr>
                <w:rFonts w:ascii="Times New Roman" w:eastAsia="Calibri" w:hAnsi="Times New Roman" w:cs="Times New Roman"/>
                <w:sz w:val="24"/>
                <w:szCs w:val="24"/>
              </w:rPr>
              <w:t xml:space="preserve"> täpsustatud</w:t>
            </w:r>
            <w:r w:rsidR="00166B55" w:rsidRPr="00017A4F">
              <w:rPr>
                <w:rFonts w:ascii="Times New Roman" w:eastAsia="Calibri" w:hAnsi="Times New Roman" w:cs="Times New Roman"/>
                <w:sz w:val="24"/>
                <w:szCs w:val="24"/>
              </w:rPr>
              <w:t xml:space="preserve"> </w:t>
            </w:r>
          </w:p>
        </w:tc>
      </w:tr>
      <w:tr w:rsidR="00886354" w:rsidRPr="001C41A6" w14:paraId="2338EC4D" w14:textId="77777777" w:rsidTr="00387D99">
        <w:trPr>
          <w:trHeight w:val="300"/>
        </w:trPr>
        <w:tc>
          <w:tcPr>
            <w:tcW w:w="10710" w:type="dxa"/>
          </w:tcPr>
          <w:p w14:paraId="3743710E" w14:textId="15EB7C81" w:rsidR="00886354" w:rsidRPr="001C41A6" w:rsidRDefault="00886354" w:rsidP="0014677B">
            <w:pPr>
              <w:tabs>
                <w:tab w:val="left" w:pos="6714"/>
              </w:tabs>
              <w:jc w:val="both"/>
              <w:rPr>
                <w:rFonts w:ascii="Times New Roman" w:eastAsia="Times New Roman" w:hAnsi="Times New Roman" w:cs="Times New Roman"/>
                <w:color w:val="000000"/>
                <w:sz w:val="24"/>
                <w:szCs w:val="24"/>
                <w:lang w:eastAsia="en-GB"/>
              </w:rPr>
            </w:pPr>
            <w:r w:rsidRPr="001C41A6">
              <w:rPr>
                <w:rFonts w:ascii="Times New Roman" w:hAnsi="Times New Roman" w:cs="Times New Roman"/>
                <w:sz w:val="24"/>
                <w:szCs w:val="24"/>
              </w:rPr>
              <w:t>2. Eelnõu § 1 punktiga 7 täiendatakse seaduse § 59</w:t>
            </w:r>
            <w:r w:rsidR="00A238E2">
              <w:rPr>
                <w:rFonts w:ascii="Times New Roman" w:hAnsi="Times New Roman" w:cs="Times New Roman"/>
                <w:sz w:val="24"/>
                <w:szCs w:val="24"/>
              </w:rPr>
              <w:t>(</w:t>
            </w:r>
            <w:r w:rsidRPr="001C41A6">
              <w:rPr>
                <w:rFonts w:ascii="Times New Roman" w:hAnsi="Times New Roman" w:cs="Times New Roman"/>
                <w:sz w:val="24"/>
                <w:szCs w:val="24"/>
              </w:rPr>
              <w:t>2</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lõikega 2</w:t>
            </w:r>
            <w:r w:rsidR="00A238E2">
              <w:rPr>
                <w:rFonts w:ascii="Times New Roman" w:hAnsi="Times New Roman" w:cs="Times New Roman"/>
                <w:sz w:val="24"/>
                <w:szCs w:val="24"/>
              </w:rPr>
              <w:t>(</w:t>
            </w:r>
            <w:r w:rsidRPr="001C41A6">
              <w:rPr>
                <w:rFonts w:ascii="Times New Roman" w:hAnsi="Times New Roman" w:cs="Times New Roman"/>
                <w:sz w:val="24"/>
                <w:szCs w:val="24"/>
              </w:rPr>
              <w:t>1</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 mille kohaselt võib riik vajadusel toetuse rahastamisest tekkinud kulud vajalikus mahus hüvitada Vabariigi Valitsuse reservist eraldatavatest riigieelarve </w:t>
            </w:r>
            <w:r w:rsidRPr="001C41A6">
              <w:rPr>
                <w:rFonts w:ascii="Times New Roman" w:hAnsi="Times New Roman" w:cs="Times New Roman"/>
                <w:sz w:val="24"/>
                <w:szCs w:val="24"/>
              </w:rPr>
              <w:lastRenderedPageBreak/>
              <w:t>vahenditest. Vabariigi Valitsuse reservist eraldatakse vahendeid üksnes lähtuvalt riigieelarve seaduse §-st 58 ja kooskõlas Vabariigi Valitsuse 31. juuli 2024. a määrusega nr 123 „Vabariigi Valitsuse reservist vahendite eraldamise ja eraldatud vahendite kasutamise kord“. Palume eelnõust viide Vabariigi Valitsuse reservist vahendite eraldamise kohta välja jätta.</w:t>
            </w:r>
          </w:p>
        </w:tc>
        <w:tc>
          <w:tcPr>
            <w:tcW w:w="3282" w:type="dxa"/>
            <w:shd w:val="clear" w:color="auto" w:fill="FFFFFF" w:themeFill="background1"/>
          </w:tcPr>
          <w:p w14:paraId="3FF77CE6" w14:textId="0A977DEB" w:rsidR="00DF5F3F" w:rsidRDefault="00DF5F3F" w:rsidP="00DA7581">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Arvestatud</w:t>
            </w:r>
            <w:r w:rsidR="0055497B">
              <w:rPr>
                <w:rFonts w:ascii="Times New Roman" w:eastAsia="Calibri" w:hAnsi="Times New Roman" w:cs="Times New Roman"/>
                <w:b/>
                <w:bCs/>
                <w:sz w:val="24"/>
                <w:szCs w:val="24"/>
              </w:rPr>
              <w:t xml:space="preserve"> </w:t>
            </w:r>
          </w:p>
          <w:p w14:paraId="3154F49D" w14:textId="5AE3F396" w:rsidR="00017A4F" w:rsidRPr="00017A4F" w:rsidRDefault="00017A4F" w:rsidP="00DA7581">
            <w:pPr>
              <w:pStyle w:val="Loendilik"/>
              <w:ind w:left="-23"/>
              <w:jc w:val="both"/>
              <w:rPr>
                <w:rFonts w:ascii="Times New Roman" w:eastAsia="Calibri" w:hAnsi="Times New Roman" w:cs="Times New Roman"/>
                <w:sz w:val="24"/>
                <w:szCs w:val="24"/>
              </w:rPr>
            </w:pPr>
          </w:p>
        </w:tc>
      </w:tr>
      <w:tr w:rsidR="00886354" w:rsidRPr="001C41A6" w14:paraId="7A092500" w14:textId="77777777" w:rsidTr="3199B330">
        <w:trPr>
          <w:trHeight w:val="300"/>
        </w:trPr>
        <w:tc>
          <w:tcPr>
            <w:tcW w:w="10710" w:type="dxa"/>
          </w:tcPr>
          <w:p w14:paraId="45F43F11" w14:textId="2C56574B" w:rsidR="00886354" w:rsidRPr="001C41A6" w:rsidRDefault="00886354" w:rsidP="0014677B">
            <w:pPr>
              <w:tabs>
                <w:tab w:val="left" w:pos="6714"/>
              </w:tabs>
              <w:jc w:val="both"/>
              <w:rPr>
                <w:rFonts w:ascii="Times New Roman" w:eastAsia="Times New Roman" w:hAnsi="Times New Roman" w:cs="Times New Roman"/>
                <w:color w:val="000000"/>
                <w:sz w:val="24"/>
                <w:szCs w:val="24"/>
                <w:lang w:eastAsia="en-GB"/>
              </w:rPr>
            </w:pPr>
            <w:r w:rsidRPr="001C41A6">
              <w:rPr>
                <w:rFonts w:ascii="Times New Roman" w:hAnsi="Times New Roman" w:cs="Times New Roman"/>
                <w:sz w:val="24"/>
                <w:szCs w:val="24"/>
              </w:rPr>
              <w:t>3. Palume täiendada eelnõu § 1 punktiga 16 tehtavat muudatust, lisades enne sõna „riigiabi“ sõnad „Euroopa Komisjoni“.</w:t>
            </w:r>
          </w:p>
        </w:tc>
        <w:tc>
          <w:tcPr>
            <w:tcW w:w="3282" w:type="dxa"/>
          </w:tcPr>
          <w:p w14:paraId="46244F75" w14:textId="0DC44590" w:rsidR="00886354" w:rsidRPr="00797EDC" w:rsidRDefault="00070588" w:rsidP="69ACF809">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Arvestatud</w:t>
            </w:r>
          </w:p>
        </w:tc>
      </w:tr>
      <w:tr w:rsidR="00886354" w:rsidRPr="001C41A6" w14:paraId="7E778588" w14:textId="77777777" w:rsidTr="3199B330">
        <w:trPr>
          <w:trHeight w:val="300"/>
        </w:trPr>
        <w:tc>
          <w:tcPr>
            <w:tcW w:w="10710" w:type="dxa"/>
          </w:tcPr>
          <w:p w14:paraId="7C0A471E" w14:textId="470F24BA" w:rsidR="00886354" w:rsidRPr="001C41A6" w:rsidRDefault="00886354" w:rsidP="0014677B">
            <w:pPr>
              <w:tabs>
                <w:tab w:val="left" w:pos="6714"/>
              </w:tabs>
              <w:jc w:val="both"/>
              <w:rPr>
                <w:rFonts w:ascii="Times New Roman" w:eastAsia="Times New Roman" w:hAnsi="Times New Roman" w:cs="Times New Roman"/>
                <w:color w:val="000000"/>
                <w:sz w:val="24"/>
                <w:szCs w:val="24"/>
                <w:lang w:eastAsia="en-GB"/>
              </w:rPr>
            </w:pPr>
            <w:r w:rsidRPr="001C41A6">
              <w:rPr>
                <w:rFonts w:ascii="Times New Roman" w:hAnsi="Times New Roman" w:cs="Times New Roman"/>
                <w:sz w:val="24"/>
                <w:szCs w:val="24"/>
              </w:rPr>
              <w:t>4. Teeme ettepaneku jätta eelnõu § 1 punktiga 25 lisatavad § 59</w:t>
            </w:r>
            <w:r w:rsidR="00A238E2">
              <w:rPr>
                <w:rFonts w:ascii="Times New Roman" w:hAnsi="Times New Roman" w:cs="Times New Roman"/>
                <w:sz w:val="24"/>
                <w:szCs w:val="24"/>
              </w:rPr>
              <w:t>(</w:t>
            </w:r>
            <w:r w:rsidRPr="001C41A6">
              <w:rPr>
                <w:rFonts w:ascii="Times New Roman" w:hAnsi="Times New Roman" w:cs="Times New Roman"/>
                <w:sz w:val="24"/>
                <w:szCs w:val="24"/>
              </w:rPr>
              <w:t>9</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lõige 2 ja § 59</w:t>
            </w:r>
            <w:r w:rsidR="00A238E2">
              <w:rPr>
                <w:rFonts w:ascii="Times New Roman" w:hAnsi="Times New Roman" w:cs="Times New Roman"/>
                <w:sz w:val="24"/>
                <w:szCs w:val="24"/>
              </w:rPr>
              <w:t>(</w:t>
            </w:r>
            <w:r w:rsidRPr="001C41A6">
              <w:rPr>
                <w:rFonts w:ascii="Times New Roman" w:hAnsi="Times New Roman" w:cs="Times New Roman"/>
                <w:sz w:val="24"/>
                <w:szCs w:val="24"/>
              </w:rPr>
              <w:t>10</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lõige 2 eelnõust välja, sätestades sama Vabariigi Valitsuse 7. novembri 2019. a määruse nr 86 §-s 3.</w:t>
            </w:r>
          </w:p>
        </w:tc>
        <w:tc>
          <w:tcPr>
            <w:tcW w:w="3282" w:type="dxa"/>
          </w:tcPr>
          <w:p w14:paraId="587816C1" w14:textId="0404FB57" w:rsidR="00886354" w:rsidRPr="00797EDC" w:rsidRDefault="37FB6250" w:rsidP="69ACF809">
            <w:pPr>
              <w:pStyle w:val="Loendilik"/>
              <w:ind w:left="-23"/>
              <w:jc w:val="both"/>
              <w:rPr>
                <w:rFonts w:ascii="Times New Roman" w:eastAsia="Calibri" w:hAnsi="Times New Roman" w:cs="Times New Roman"/>
                <w:b/>
                <w:bCs/>
                <w:sz w:val="24"/>
                <w:szCs w:val="24"/>
              </w:rPr>
            </w:pPr>
            <w:r w:rsidRPr="2C548A02">
              <w:rPr>
                <w:rFonts w:ascii="Times New Roman" w:eastAsia="Calibri" w:hAnsi="Times New Roman" w:cs="Times New Roman"/>
                <w:b/>
                <w:bCs/>
                <w:sz w:val="24"/>
                <w:szCs w:val="24"/>
              </w:rPr>
              <w:t>Arvestatud</w:t>
            </w:r>
          </w:p>
          <w:p w14:paraId="3157557E" w14:textId="5F0A8E87" w:rsidR="000672C8" w:rsidRPr="00797EDC" w:rsidRDefault="1B294912" w:rsidP="69ACF809">
            <w:pPr>
              <w:pStyle w:val="Loendilik"/>
              <w:ind w:left="-23"/>
              <w:jc w:val="both"/>
              <w:rPr>
                <w:rFonts w:ascii="Times New Roman" w:eastAsia="Calibri" w:hAnsi="Times New Roman" w:cs="Times New Roman"/>
                <w:sz w:val="24"/>
                <w:szCs w:val="24"/>
              </w:rPr>
            </w:pPr>
            <w:r w:rsidRPr="4E446B8B">
              <w:rPr>
                <w:rFonts w:ascii="Times New Roman" w:eastAsia="Calibri" w:hAnsi="Times New Roman" w:cs="Times New Roman"/>
                <w:sz w:val="24"/>
                <w:szCs w:val="24"/>
              </w:rPr>
              <w:t xml:space="preserve">Määruse muudatuse eelnõu on väljatöötamisel. </w:t>
            </w:r>
          </w:p>
        </w:tc>
      </w:tr>
      <w:tr w:rsidR="00886354" w:rsidRPr="001C41A6" w14:paraId="5884F2C8" w14:textId="77777777" w:rsidTr="3199B330">
        <w:trPr>
          <w:trHeight w:val="300"/>
        </w:trPr>
        <w:tc>
          <w:tcPr>
            <w:tcW w:w="10710" w:type="dxa"/>
          </w:tcPr>
          <w:p w14:paraId="04615F94" w14:textId="5B9DE6BE" w:rsidR="00886354" w:rsidRPr="001C41A6" w:rsidRDefault="00886354" w:rsidP="0014677B">
            <w:pPr>
              <w:tabs>
                <w:tab w:val="left" w:pos="6714"/>
              </w:tabs>
              <w:jc w:val="both"/>
              <w:rPr>
                <w:rFonts w:ascii="Times New Roman" w:eastAsia="Times New Roman" w:hAnsi="Times New Roman" w:cs="Times New Roman"/>
                <w:color w:val="000000"/>
                <w:sz w:val="24"/>
                <w:szCs w:val="24"/>
                <w:lang w:eastAsia="en-GB"/>
              </w:rPr>
            </w:pPr>
            <w:r w:rsidRPr="001C41A6">
              <w:rPr>
                <w:rFonts w:ascii="Times New Roman" w:hAnsi="Times New Roman" w:cs="Times New Roman"/>
                <w:sz w:val="24"/>
                <w:szCs w:val="24"/>
              </w:rPr>
              <w:t>5. Eelnõu § 1 punktis 25 (§ 59</w:t>
            </w:r>
            <w:r w:rsidR="00A238E2">
              <w:rPr>
                <w:rFonts w:ascii="Times New Roman" w:hAnsi="Times New Roman" w:cs="Times New Roman"/>
                <w:sz w:val="24"/>
                <w:szCs w:val="24"/>
              </w:rPr>
              <w:t>(</w:t>
            </w:r>
            <w:r w:rsidRPr="001C41A6">
              <w:rPr>
                <w:rFonts w:ascii="Times New Roman" w:hAnsi="Times New Roman" w:cs="Times New Roman"/>
                <w:sz w:val="24"/>
                <w:szCs w:val="24"/>
              </w:rPr>
              <w:t>10</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lõige 18) sätestatakse, et toetuse maksmise korra kehtestab Vabariigi Valitsus määrusega, lähtudes riigiabi andmist reguleerivatest õigusaktidest. Pole selge, kas mõeldud on eraldiseisvat korda võrreldes Vabariigi Valitsuse 7. novembri 2019. a määrusega nr 86 (seletuskirjas pole seda selgitatud). Selgusetuks jääb ka see, kas säte on mõeldud volitusnormina või pädevusnormina.</w:t>
            </w:r>
          </w:p>
        </w:tc>
        <w:tc>
          <w:tcPr>
            <w:tcW w:w="3282" w:type="dxa"/>
          </w:tcPr>
          <w:p w14:paraId="75B0657E" w14:textId="77777777" w:rsidR="00886354" w:rsidRPr="00797EDC" w:rsidRDefault="00070588" w:rsidP="69ACF809">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Arvestatud</w:t>
            </w:r>
          </w:p>
          <w:p w14:paraId="269C62BF" w14:textId="4191892A" w:rsidR="00070588" w:rsidRPr="00017A4F" w:rsidRDefault="00017A4F" w:rsidP="00017A4F">
            <w:pPr>
              <w:jc w:val="both"/>
              <w:rPr>
                <w:rFonts w:ascii="Times New Roman" w:eastAsia="Calibri" w:hAnsi="Times New Roman" w:cs="Times New Roman"/>
                <w:sz w:val="24"/>
                <w:szCs w:val="24"/>
              </w:rPr>
            </w:pPr>
            <w:r>
              <w:rPr>
                <w:rFonts w:ascii="Times New Roman" w:eastAsia="Calibri" w:hAnsi="Times New Roman" w:cs="Times New Roman"/>
                <w:sz w:val="24"/>
                <w:szCs w:val="24"/>
              </w:rPr>
              <w:t>Seletuskiri täpsustatud</w:t>
            </w:r>
            <w:r w:rsidR="00385FBB" w:rsidRPr="00017A4F">
              <w:rPr>
                <w:rFonts w:ascii="Times New Roman" w:eastAsia="Calibri" w:hAnsi="Times New Roman" w:cs="Times New Roman"/>
                <w:sz w:val="24"/>
                <w:szCs w:val="24"/>
              </w:rPr>
              <w:t>.</w:t>
            </w:r>
          </w:p>
        </w:tc>
      </w:tr>
      <w:tr w:rsidR="00886354" w:rsidRPr="001C41A6" w14:paraId="1F462B76" w14:textId="77777777" w:rsidTr="3199B330">
        <w:trPr>
          <w:trHeight w:val="300"/>
        </w:trPr>
        <w:tc>
          <w:tcPr>
            <w:tcW w:w="10710" w:type="dxa"/>
          </w:tcPr>
          <w:p w14:paraId="61222F36" w14:textId="4F6F1065" w:rsidR="00886354" w:rsidRPr="001C41A6" w:rsidRDefault="00886354" w:rsidP="0014677B">
            <w:pPr>
              <w:tabs>
                <w:tab w:val="left" w:pos="6714"/>
              </w:tabs>
              <w:jc w:val="both"/>
              <w:rPr>
                <w:rFonts w:ascii="Times New Roman" w:eastAsia="Times New Roman" w:hAnsi="Times New Roman" w:cs="Times New Roman"/>
                <w:color w:val="000000"/>
                <w:sz w:val="24"/>
                <w:szCs w:val="24"/>
                <w:lang w:eastAsia="en-GB"/>
              </w:rPr>
            </w:pPr>
            <w:r w:rsidRPr="001C41A6">
              <w:rPr>
                <w:rFonts w:ascii="Times New Roman" w:hAnsi="Times New Roman" w:cs="Times New Roman"/>
                <w:sz w:val="24"/>
                <w:szCs w:val="24"/>
              </w:rPr>
              <w:t>6. Eelnõu § 1 punkti 4 kohta seletuskirjas toodud selgituses on viidatud Euroopa Komisjoni teatise „Riigiabimeetmete ajutine kriisi- ja üleminekuraamistik majanduse toetamiseks pärast Venemaa kallaletungi Ukrainale” (edaspidi riigiabi ajutine raamistik) punktile 526, aga ilmselt on mõeldud punkti 52.</w:t>
            </w:r>
          </w:p>
        </w:tc>
        <w:tc>
          <w:tcPr>
            <w:tcW w:w="3282" w:type="dxa"/>
          </w:tcPr>
          <w:p w14:paraId="662A07F2" w14:textId="77777777" w:rsidR="00886354" w:rsidRPr="00797EDC" w:rsidRDefault="00070588" w:rsidP="69ACF809">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Arvestatud</w:t>
            </w:r>
          </w:p>
          <w:p w14:paraId="777A0607" w14:textId="06EE79DF" w:rsidR="00070588" w:rsidRPr="00797EDC" w:rsidRDefault="00196DAE" w:rsidP="69ACF809">
            <w:pPr>
              <w:pStyle w:val="Loendilik"/>
              <w:ind w:left="-2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Seletuskirjas parandus sisse viidud. Tegemist on viitenumbriga 6 (joonealune viide). </w:t>
            </w:r>
          </w:p>
        </w:tc>
      </w:tr>
      <w:tr w:rsidR="00886354" w:rsidRPr="001C41A6" w14:paraId="297D9E03" w14:textId="77777777" w:rsidTr="3199B330">
        <w:trPr>
          <w:trHeight w:val="300"/>
        </w:trPr>
        <w:tc>
          <w:tcPr>
            <w:tcW w:w="10710" w:type="dxa"/>
          </w:tcPr>
          <w:p w14:paraId="267D023B" w14:textId="0E63F4C5" w:rsidR="00886354" w:rsidRPr="001C41A6" w:rsidRDefault="00886354" w:rsidP="0014677B">
            <w:pPr>
              <w:tabs>
                <w:tab w:val="left" w:pos="6714"/>
              </w:tabs>
              <w:jc w:val="both"/>
              <w:rPr>
                <w:rFonts w:ascii="Times New Roman" w:eastAsia="Times New Roman" w:hAnsi="Times New Roman" w:cs="Times New Roman"/>
                <w:color w:val="000000"/>
                <w:sz w:val="24"/>
                <w:szCs w:val="24"/>
                <w:lang w:eastAsia="en-GB"/>
              </w:rPr>
            </w:pPr>
            <w:r w:rsidRPr="001C41A6">
              <w:rPr>
                <w:rFonts w:ascii="Times New Roman" w:hAnsi="Times New Roman" w:cs="Times New Roman"/>
                <w:sz w:val="24"/>
                <w:szCs w:val="24"/>
              </w:rPr>
              <w:t>7. Eelnõu § 1 punkt 21 (§ 59</w:t>
            </w:r>
            <w:r w:rsidR="00A238E2">
              <w:rPr>
                <w:rFonts w:ascii="Times New Roman" w:hAnsi="Times New Roman" w:cs="Times New Roman"/>
                <w:sz w:val="24"/>
                <w:szCs w:val="24"/>
              </w:rPr>
              <w:t>(</w:t>
            </w:r>
            <w:r w:rsidRPr="001C41A6">
              <w:rPr>
                <w:rFonts w:ascii="Times New Roman" w:hAnsi="Times New Roman" w:cs="Times New Roman"/>
                <w:sz w:val="24"/>
                <w:szCs w:val="24"/>
              </w:rPr>
              <w:t>7</w:t>
            </w:r>
            <w:r w:rsidR="00A238E2">
              <w:rPr>
                <w:rFonts w:ascii="Times New Roman" w:hAnsi="Times New Roman" w:cs="Times New Roman"/>
                <w:sz w:val="24"/>
                <w:szCs w:val="24"/>
              </w:rPr>
              <w:t xml:space="preserve">) </w:t>
            </w:r>
            <w:r w:rsidRPr="001C41A6">
              <w:rPr>
                <w:rFonts w:ascii="Times New Roman" w:hAnsi="Times New Roman" w:cs="Times New Roman"/>
                <w:sz w:val="24"/>
                <w:szCs w:val="24"/>
              </w:rPr>
              <w:t>täiendamine lõigetega 3</w:t>
            </w:r>
            <w:r w:rsidR="00A238E2">
              <w:rPr>
                <w:rFonts w:ascii="Times New Roman" w:hAnsi="Times New Roman" w:cs="Times New Roman"/>
                <w:sz w:val="24"/>
                <w:szCs w:val="24"/>
              </w:rPr>
              <w:t>(</w:t>
            </w:r>
            <w:r w:rsidRPr="001C41A6">
              <w:rPr>
                <w:rFonts w:ascii="Times New Roman" w:hAnsi="Times New Roman" w:cs="Times New Roman"/>
                <w:sz w:val="24"/>
                <w:szCs w:val="24"/>
              </w:rPr>
              <w:t>1</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ja 3</w:t>
            </w:r>
            <w:r w:rsidR="00A238E2">
              <w:rPr>
                <w:rFonts w:ascii="Times New Roman" w:hAnsi="Times New Roman" w:cs="Times New Roman"/>
                <w:sz w:val="24"/>
                <w:szCs w:val="24"/>
              </w:rPr>
              <w:t>(</w:t>
            </w:r>
            <w:r w:rsidRPr="001C41A6">
              <w:rPr>
                <w:rFonts w:ascii="Times New Roman" w:hAnsi="Times New Roman" w:cs="Times New Roman"/>
                <w:sz w:val="24"/>
                <w:szCs w:val="24"/>
              </w:rPr>
              <w:t>2</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 sätestab, et vähempakkumisel osalejal peab tagatisena garantii kasutamisel olema krediidiasutuse, finantseerimisasutuse või kindlustusandja reiting vähemalt investeerimisjärgu krediidireiting. Investeerimisjärgu krediidireitingu nõude korral kitsendatakse garantiid pakkuda saavate ettevõtete ringi ja sellise nõude kehtestamine peaks olema põhjendatud. Palume uuesti kaaluda nõude kehtestamise vajadust või alternatiivselt põhjendada seletuskirjas investeerimisjärgu krediidireitingu nõude sätestamist. Ühtlasi palume muuta lõike 3</w:t>
            </w:r>
            <w:r w:rsidR="00A238E2">
              <w:rPr>
                <w:rFonts w:ascii="Times New Roman" w:hAnsi="Times New Roman" w:cs="Times New Roman"/>
                <w:sz w:val="24"/>
                <w:szCs w:val="24"/>
              </w:rPr>
              <w:t>(</w:t>
            </w:r>
            <w:r w:rsidRPr="001C41A6">
              <w:rPr>
                <w:rFonts w:ascii="Times New Roman" w:hAnsi="Times New Roman" w:cs="Times New Roman"/>
                <w:sz w:val="24"/>
                <w:szCs w:val="24"/>
              </w:rPr>
              <w:t>2</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sõnastus, mille kohaselt tagastatud tagatisraha läheb riigi omandisse. Tegemist ei ole korrektse väljendiga, mistõttu palume see asendada sõnastusega „laekub riigieelarvesse“.</w:t>
            </w:r>
          </w:p>
        </w:tc>
        <w:tc>
          <w:tcPr>
            <w:tcW w:w="3282" w:type="dxa"/>
          </w:tcPr>
          <w:p w14:paraId="1467AFB4" w14:textId="25494CB3" w:rsidR="00070588" w:rsidRPr="00797EDC" w:rsidRDefault="3DBF16A1" w:rsidP="00866106">
            <w:pPr>
              <w:jc w:val="both"/>
              <w:rPr>
                <w:rFonts w:ascii="Times New Roman" w:eastAsia="Calibri" w:hAnsi="Times New Roman" w:cs="Times New Roman"/>
                <w:b/>
                <w:bCs/>
                <w:sz w:val="24"/>
                <w:szCs w:val="24"/>
              </w:rPr>
            </w:pPr>
            <w:r w:rsidRPr="013F8064">
              <w:rPr>
                <w:rFonts w:ascii="Times New Roman" w:eastAsia="Calibri" w:hAnsi="Times New Roman" w:cs="Times New Roman"/>
                <w:b/>
                <w:bCs/>
                <w:sz w:val="24"/>
                <w:szCs w:val="24"/>
              </w:rPr>
              <w:t>Arvestatud osaliselt</w:t>
            </w:r>
          </w:p>
          <w:p w14:paraId="4115C923" w14:textId="04D9E24D" w:rsidR="00070588" w:rsidRPr="00017A4F" w:rsidRDefault="13EEE09B" w:rsidP="00017A4F">
            <w:pPr>
              <w:jc w:val="both"/>
              <w:rPr>
                <w:rFonts w:ascii="Times New Roman" w:eastAsia="Calibri" w:hAnsi="Times New Roman" w:cs="Times New Roman"/>
                <w:sz w:val="24"/>
                <w:szCs w:val="24"/>
              </w:rPr>
            </w:pPr>
            <w:r w:rsidRPr="00017A4F">
              <w:rPr>
                <w:rFonts w:ascii="Times New Roman" w:eastAsia="Calibri" w:hAnsi="Times New Roman" w:cs="Times New Roman"/>
                <w:sz w:val="24"/>
                <w:szCs w:val="24"/>
              </w:rPr>
              <w:t xml:space="preserve">Selgitame, et riikliku eesmärgi saavutamine on sedavõrd olulise tähtsusega küsimus, et </w:t>
            </w:r>
            <w:r w:rsidR="4CE02EC2" w:rsidRPr="00017A4F">
              <w:rPr>
                <w:rFonts w:ascii="Times New Roman" w:eastAsia="Calibri" w:hAnsi="Times New Roman" w:cs="Times New Roman"/>
                <w:sz w:val="24"/>
                <w:szCs w:val="24"/>
              </w:rPr>
              <w:t xml:space="preserve">on vajalik veenduda </w:t>
            </w:r>
            <w:r w:rsidR="6E9618ED" w:rsidRPr="00017A4F">
              <w:rPr>
                <w:rFonts w:ascii="Times New Roman" w:eastAsia="Calibri" w:hAnsi="Times New Roman" w:cs="Times New Roman"/>
                <w:sz w:val="24"/>
                <w:szCs w:val="24"/>
              </w:rPr>
              <w:t xml:space="preserve">piisavate vahendite olemasolus </w:t>
            </w:r>
            <w:r w:rsidR="004B488C">
              <w:rPr>
                <w:rFonts w:ascii="Times New Roman" w:eastAsia="Calibri" w:hAnsi="Times New Roman" w:cs="Times New Roman"/>
                <w:sz w:val="24"/>
                <w:szCs w:val="24"/>
              </w:rPr>
              <w:t>vähempakkumises</w:t>
            </w:r>
            <w:r w:rsidR="004B488C" w:rsidRPr="00017A4F">
              <w:rPr>
                <w:rFonts w:ascii="Times New Roman" w:eastAsia="Calibri" w:hAnsi="Times New Roman" w:cs="Times New Roman"/>
                <w:sz w:val="24"/>
                <w:szCs w:val="24"/>
              </w:rPr>
              <w:t xml:space="preserve"> </w:t>
            </w:r>
            <w:r w:rsidR="51E2E556" w:rsidRPr="00017A4F">
              <w:rPr>
                <w:rFonts w:ascii="Times New Roman" w:eastAsia="Calibri" w:hAnsi="Times New Roman" w:cs="Times New Roman"/>
                <w:sz w:val="24"/>
                <w:szCs w:val="24"/>
              </w:rPr>
              <w:t>osalejate</w:t>
            </w:r>
            <w:r w:rsidR="7FCA62E6" w:rsidRPr="00017A4F">
              <w:rPr>
                <w:rFonts w:ascii="Times New Roman" w:eastAsia="Calibri" w:hAnsi="Times New Roman" w:cs="Times New Roman"/>
                <w:sz w:val="24"/>
                <w:szCs w:val="24"/>
              </w:rPr>
              <w:t>l</w:t>
            </w:r>
          </w:p>
          <w:p w14:paraId="60F0DD55" w14:textId="7747BDEA" w:rsidR="00866106" w:rsidRPr="00797EDC" w:rsidRDefault="00C178DF" w:rsidP="00866106">
            <w:pPr>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Tagastatud tagatisraha ei lähe </w:t>
            </w:r>
            <w:r w:rsidR="00711970" w:rsidRPr="00797EDC">
              <w:rPr>
                <w:rFonts w:ascii="Times New Roman" w:eastAsia="Calibri" w:hAnsi="Times New Roman" w:cs="Times New Roman"/>
                <w:sz w:val="24"/>
                <w:szCs w:val="24"/>
              </w:rPr>
              <w:t>riigieelarvesse, vaid vähempakkumise läbiviija arvele. Täpsustame seletuskirja.</w:t>
            </w:r>
          </w:p>
          <w:p w14:paraId="24CB620F" w14:textId="1569D48D" w:rsidR="00866106" w:rsidRPr="00797EDC" w:rsidRDefault="00866106" w:rsidP="00866106">
            <w:pPr>
              <w:jc w:val="both"/>
              <w:rPr>
                <w:rFonts w:ascii="Times New Roman" w:eastAsia="Calibri" w:hAnsi="Times New Roman" w:cs="Times New Roman"/>
                <w:b/>
                <w:bCs/>
                <w:sz w:val="24"/>
                <w:szCs w:val="24"/>
              </w:rPr>
            </w:pPr>
          </w:p>
        </w:tc>
      </w:tr>
      <w:tr w:rsidR="00886354" w:rsidRPr="001C41A6" w14:paraId="33764C5B" w14:textId="77777777" w:rsidTr="3199B330">
        <w:trPr>
          <w:trHeight w:val="300"/>
        </w:trPr>
        <w:tc>
          <w:tcPr>
            <w:tcW w:w="10710" w:type="dxa"/>
          </w:tcPr>
          <w:p w14:paraId="6B3F0F28" w14:textId="61CFFCC9" w:rsidR="00886354" w:rsidRPr="001C41A6" w:rsidRDefault="00886354" w:rsidP="0014677B">
            <w:pPr>
              <w:tabs>
                <w:tab w:val="left" w:pos="6714"/>
              </w:tabs>
              <w:jc w:val="both"/>
              <w:rPr>
                <w:rFonts w:ascii="Times New Roman" w:eastAsia="Times New Roman" w:hAnsi="Times New Roman" w:cs="Times New Roman"/>
                <w:color w:val="000000"/>
                <w:sz w:val="24"/>
                <w:szCs w:val="24"/>
                <w:lang w:eastAsia="en-GB"/>
              </w:rPr>
            </w:pPr>
            <w:r w:rsidRPr="001C41A6">
              <w:rPr>
                <w:rFonts w:ascii="Times New Roman" w:hAnsi="Times New Roman" w:cs="Times New Roman"/>
                <w:sz w:val="24"/>
                <w:szCs w:val="24"/>
              </w:rPr>
              <w:t>8. Eelnõu § 1 punkti 2 kohase seaduse § 58</w:t>
            </w:r>
            <w:r w:rsidR="00A238E2">
              <w:rPr>
                <w:rFonts w:ascii="Times New Roman" w:hAnsi="Times New Roman" w:cs="Times New Roman"/>
                <w:sz w:val="24"/>
                <w:szCs w:val="24"/>
              </w:rPr>
              <w:t>(</w:t>
            </w:r>
            <w:r w:rsidRPr="001C41A6">
              <w:rPr>
                <w:rFonts w:ascii="Times New Roman" w:hAnsi="Times New Roman" w:cs="Times New Roman"/>
                <w:sz w:val="24"/>
                <w:szCs w:val="24"/>
              </w:rPr>
              <w:t>4</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lõike 1 punkti 2 muudatuse kohaselt jääb eelnõusse säte, millega seatakse kohustus tagada, et taastuvenergia tootjad reageerivad turu hinnasignaalidele. Seletuskiri selgitab vaid sättest eelnõuga välja jäetavat osa, kuid puudub selgitus alles jääva sätte vajalikkuse kohta. Palume seletuskirjas selgitada, mida turu hinnasignaalidele reageerimise all on silmas peetud, arvestades äriühingute otsustusõigust kehtiva õigusruumi piires oma äriplaani ellu viia ning millise õigusliku mehhanismiga on kavandatud ettevõtjate turu hinnasignaalidele reageerimist jõustada.</w:t>
            </w:r>
          </w:p>
        </w:tc>
        <w:tc>
          <w:tcPr>
            <w:tcW w:w="3282" w:type="dxa"/>
          </w:tcPr>
          <w:p w14:paraId="0C348B34" w14:textId="77777777" w:rsidR="00EF2A51" w:rsidRDefault="00EF2A51" w:rsidP="69ACF809">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Selgitame</w:t>
            </w:r>
          </w:p>
          <w:p w14:paraId="792CDB7E" w14:textId="77777777" w:rsidR="00196DAE" w:rsidRDefault="00196DAE" w:rsidP="00196DAE">
            <w:pPr>
              <w:pStyle w:val="Loendilik"/>
              <w:ind w:left="-23"/>
              <w:jc w:val="both"/>
              <w:rPr>
                <w:rFonts w:ascii="Times New Roman" w:eastAsia="Calibri" w:hAnsi="Times New Roman" w:cs="Times New Roman"/>
                <w:sz w:val="24"/>
                <w:szCs w:val="24"/>
              </w:rPr>
            </w:pPr>
            <w:r>
              <w:rPr>
                <w:rFonts w:ascii="Times New Roman" w:eastAsia="Calibri" w:hAnsi="Times New Roman" w:cs="Times New Roman"/>
                <w:sz w:val="24"/>
                <w:szCs w:val="24"/>
              </w:rPr>
              <w:t>ELTS § 58</w:t>
            </w:r>
            <w:r>
              <w:rPr>
                <w:rFonts w:ascii="Times New Roman" w:eastAsia="Calibri" w:hAnsi="Times New Roman" w:cs="Times New Roman"/>
                <w:sz w:val="24"/>
                <w:szCs w:val="24"/>
                <w:vertAlign w:val="superscript"/>
              </w:rPr>
              <w:t xml:space="preserve">4 </w:t>
            </w:r>
            <w:r>
              <w:rPr>
                <w:rFonts w:ascii="Times New Roman" w:eastAsia="Calibri" w:hAnsi="Times New Roman" w:cs="Times New Roman"/>
                <w:sz w:val="24"/>
                <w:szCs w:val="24"/>
              </w:rPr>
              <w:t xml:space="preserve">lõike 1 punkt 2 puhul on tegemist EL </w:t>
            </w:r>
            <w:r w:rsidR="7D67F391" w:rsidRPr="00196DAE">
              <w:rPr>
                <w:rFonts w:ascii="Times New Roman" w:eastAsia="Calibri" w:hAnsi="Times New Roman" w:cs="Times New Roman"/>
                <w:sz w:val="24"/>
                <w:szCs w:val="24"/>
              </w:rPr>
              <w:t xml:space="preserve">direktiivi 2018/2001 (edaspidi </w:t>
            </w:r>
            <w:r w:rsidR="14862895" w:rsidRPr="00196DAE">
              <w:rPr>
                <w:rFonts w:ascii="Times New Roman" w:eastAsia="Calibri" w:hAnsi="Times New Roman" w:cs="Times New Roman"/>
                <w:sz w:val="24"/>
                <w:szCs w:val="24"/>
              </w:rPr>
              <w:t xml:space="preserve"> direktiiv)</w:t>
            </w:r>
            <w:r w:rsidR="7D67F391" w:rsidRPr="00196DAE">
              <w:rPr>
                <w:rFonts w:ascii="Times New Roman" w:eastAsia="Calibri" w:hAnsi="Times New Roman" w:cs="Times New Roman"/>
                <w:sz w:val="24"/>
                <w:szCs w:val="24"/>
              </w:rPr>
              <w:t xml:space="preserve"> ülevõtmisega ja § 58(4) lõike sisustamine tugineb</w:t>
            </w:r>
            <w:r w:rsidR="55B513D3" w:rsidRPr="00196DAE">
              <w:rPr>
                <w:rFonts w:ascii="Times New Roman" w:eastAsia="Calibri" w:hAnsi="Times New Roman" w:cs="Times New Roman"/>
                <w:sz w:val="24"/>
                <w:szCs w:val="24"/>
              </w:rPr>
              <w:t xml:space="preserve"> artiklite 4 </w:t>
            </w:r>
            <w:r w:rsidR="55B513D3" w:rsidRPr="00196DAE">
              <w:rPr>
                <w:rFonts w:ascii="Times New Roman" w:eastAsia="Calibri" w:hAnsi="Times New Roman" w:cs="Times New Roman"/>
                <w:sz w:val="24"/>
                <w:szCs w:val="24"/>
              </w:rPr>
              <w:lastRenderedPageBreak/>
              <w:t xml:space="preserve">(punkti </w:t>
            </w:r>
            <w:r w:rsidR="7345E850" w:rsidRPr="00196DAE">
              <w:rPr>
                <w:rFonts w:ascii="Times New Roman" w:eastAsia="Calibri" w:hAnsi="Times New Roman" w:cs="Times New Roman"/>
                <w:sz w:val="24"/>
                <w:szCs w:val="24"/>
              </w:rPr>
              <w:t>2</w:t>
            </w:r>
            <w:r w:rsidR="55B513D3" w:rsidRPr="00196DAE">
              <w:rPr>
                <w:rFonts w:ascii="Times New Roman" w:eastAsia="Calibri" w:hAnsi="Times New Roman" w:cs="Times New Roman"/>
                <w:sz w:val="24"/>
                <w:szCs w:val="24"/>
              </w:rPr>
              <w:t xml:space="preserve"> ja </w:t>
            </w:r>
            <w:r w:rsidR="0E6983BF" w:rsidRPr="00196DAE">
              <w:rPr>
                <w:rFonts w:ascii="Times New Roman" w:eastAsia="Calibri" w:hAnsi="Times New Roman" w:cs="Times New Roman"/>
                <w:sz w:val="24"/>
                <w:szCs w:val="24"/>
              </w:rPr>
              <w:t>3</w:t>
            </w:r>
            <w:r w:rsidR="55B513D3" w:rsidRPr="00196DAE">
              <w:rPr>
                <w:rFonts w:ascii="Times New Roman" w:eastAsia="Calibri" w:hAnsi="Times New Roman" w:cs="Times New Roman"/>
                <w:sz w:val="24"/>
                <w:szCs w:val="24"/>
              </w:rPr>
              <w:t>) ning 22 (punkt 7) ülevõtmisega.</w:t>
            </w:r>
            <w:r>
              <w:rPr>
                <w:rFonts w:ascii="Times New Roman" w:eastAsia="Calibri" w:hAnsi="Times New Roman" w:cs="Times New Roman"/>
                <w:sz w:val="24"/>
                <w:szCs w:val="24"/>
              </w:rPr>
              <w:t xml:space="preserve"> Muudatus on eelnõust välja jäetud, sest </w:t>
            </w:r>
            <w:r w:rsidRPr="00196DAE">
              <w:rPr>
                <w:rFonts w:ascii="Times New Roman" w:eastAsia="Calibri" w:hAnsi="Times New Roman" w:cs="Times New Roman"/>
                <w:sz w:val="24"/>
                <w:szCs w:val="24"/>
              </w:rPr>
              <w:t xml:space="preserve">vastasel juhul oleks tekkinud vastuolu direktiivi ülevõtmisega. </w:t>
            </w:r>
          </w:p>
          <w:p w14:paraId="6D355E79" w14:textId="3511711B" w:rsidR="00886354" w:rsidRPr="00196DAE" w:rsidRDefault="00196DAE" w:rsidP="00196DAE">
            <w:pPr>
              <w:pStyle w:val="Loendilik"/>
              <w:ind w:left="-23"/>
              <w:jc w:val="both"/>
              <w:rPr>
                <w:rFonts w:ascii="Times New Roman" w:hAnsi="Times New Roman" w:cs="Times New Roman"/>
                <w:sz w:val="24"/>
                <w:szCs w:val="24"/>
              </w:rPr>
            </w:pPr>
            <w:r w:rsidRPr="00196DAE">
              <w:rPr>
                <w:rFonts w:ascii="Times New Roman" w:eastAsia="Calibri" w:hAnsi="Times New Roman" w:cs="Times New Roman"/>
                <w:sz w:val="24"/>
                <w:szCs w:val="24"/>
              </w:rPr>
              <w:t>Riigiabi reeglitest tulenevalt antud muudatus ebavajalik, sest r</w:t>
            </w:r>
            <w:r w:rsidRPr="00196DAE">
              <w:rPr>
                <w:rFonts w:ascii="Times New Roman" w:hAnsi="Times New Roman" w:cs="Times New Roman"/>
                <w:sz w:val="24"/>
                <w:szCs w:val="24"/>
              </w:rPr>
              <w:t xml:space="preserve">iigiabi luba (ja vähempakkumine) paneb spetsiifiliselt paika, kui palju tootja teenida saab. </w:t>
            </w:r>
          </w:p>
        </w:tc>
      </w:tr>
      <w:tr w:rsidR="00886354" w:rsidRPr="001C41A6" w14:paraId="1EEB539F" w14:textId="77777777" w:rsidTr="3199B330">
        <w:trPr>
          <w:trHeight w:val="300"/>
        </w:trPr>
        <w:tc>
          <w:tcPr>
            <w:tcW w:w="10710" w:type="dxa"/>
          </w:tcPr>
          <w:p w14:paraId="30B85918" w14:textId="3C598AE6" w:rsidR="00886354" w:rsidRPr="001C41A6" w:rsidRDefault="00886354" w:rsidP="0014677B">
            <w:pPr>
              <w:tabs>
                <w:tab w:val="left" w:pos="6714"/>
              </w:tabs>
              <w:jc w:val="both"/>
              <w:rPr>
                <w:rFonts w:ascii="Times New Roman" w:eastAsia="Times New Roman" w:hAnsi="Times New Roman" w:cs="Times New Roman"/>
                <w:color w:val="000000"/>
                <w:sz w:val="24"/>
                <w:szCs w:val="24"/>
                <w:lang w:eastAsia="en-GB"/>
              </w:rPr>
            </w:pPr>
            <w:r w:rsidRPr="001C41A6">
              <w:rPr>
                <w:rFonts w:ascii="Times New Roman" w:hAnsi="Times New Roman" w:cs="Times New Roman"/>
                <w:sz w:val="24"/>
                <w:szCs w:val="24"/>
              </w:rPr>
              <w:lastRenderedPageBreak/>
              <w:t>9. Eelnõu § 1 punktiga 5 muudetakse ELTS § 59</w:t>
            </w:r>
            <w:r w:rsidR="00A238E2">
              <w:rPr>
                <w:rFonts w:ascii="Times New Roman" w:hAnsi="Times New Roman" w:cs="Times New Roman"/>
                <w:sz w:val="24"/>
                <w:szCs w:val="24"/>
              </w:rPr>
              <w:t>(</w:t>
            </w:r>
            <w:r w:rsidRPr="001C41A6">
              <w:rPr>
                <w:rFonts w:ascii="Times New Roman" w:hAnsi="Times New Roman" w:cs="Times New Roman"/>
                <w:sz w:val="24"/>
                <w:szCs w:val="24"/>
              </w:rPr>
              <w:t>2</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lõike 1 sõnastust, mille kohaselt jääb kehtima põhimõte, et tarbija finantseerib toetuseid ning lisatakse juurde lause, et tootja tehtavad rahalised maksed finantseerivad samuti toetuse maksmist (st, et selles ulatuses, mis tootjad maksavad Eleringile raha tagasi, küsitakse tarbijatelt vähem taastuvenergiatasu). Seletuskirjas on kasutatud ebaõnnestunud sõnastust, kui on öeldud, et toetusskeemi rakendamine võib tuua riigile teatud hetkedel ka otsest rahalist tulu. Riik skeemist tulu ei saa, laekuvast rahast finantseeritakse toetuste maksmist ja selle võrra maksavad tarbijad vähem taastuvenergia tasu. Ühtlasi viitame, et kui toetus kaetakse tarbijate poolt, siis ei maksa toetust riik. Palume seletuskirja läbivalt parandada.</w:t>
            </w:r>
          </w:p>
        </w:tc>
        <w:tc>
          <w:tcPr>
            <w:tcW w:w="3282" w:type="dxa"/>
          </w:tcPr>
          <w:p w14:paraId="52A9B99E" w14:textId="1393F186" w:rsidR="00FB4075" w:rsidRPr="00797EDC" w:rsidRDefault="00F31667" w:rsidP="69ACF809">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Arvestatud osaliselt</w:t>
            </w:r>
          </w:p>
          <w:p w14:paraId="30BB4602" w14:textId="2DA55981" w:rsidR="00F31667" w:rsidRPr="00F31667" w:rsidRDefault="00F31667" w:rsidP="013F8064">
            <w:pPr>
              <w:pStyle w:val="Loendilik"/>
              <w:ind w:left="-23"/>
              <w:jc w:val="both"/>
              <w:rPr>
                <w:rFonts w:ascii="Times New Roman" w:eastAsia="Calibri" w:hAnsi="Times New Roman" w:cs="Times New Roman"/>
                <w:sz w:val="24"/>
                <w:szCs w:val="24"/>
              </w:rPr>
            </w:pPr>
            <w:r w:rsidRPr="00F31667">
              <w:rPr>
                <w:rFonts w:ascii="Times New Roman" w:eastAsia="Calibri" w:hAnsi="Times New Roman" w:cs="Times New Roman"/>
                <w:sz w:val="24"/>
                <w:szCs w:val="24"/>
              </w:rPr>
              <w:t>Läbivalt on tekstid läbi vaadatud ja vajadusel parandused sisse viidud</w:t>
            </w:r>
            <w:r>
              <w:rPr>
                <w:rFonts w:ascii="Times New Roman" w:eastAsia="Calibri" w:hAnsi="Times New Roman" w:cs="Times New Roman"/>
                <w:sz w:val="24"/>
                <w:szCs w:val="24"/>
              </w:rPr>
              <w:t>.</w:t>
            </w:r>
          </w:p>
          <w:p w14:paraId="2B3EAFCF" w14:textId="6877BF71" w:rsidR="00EC07A5" w:rsidRPr="00797EDC" w:rsidRDefault="00EC07A5" w:rsidP="69ACF809">
            <w:pPr>
              <w:pStyle w:val="Loendilik"/>
              <w:ind w:left="-23"/>
              <w:jc w:val="both"/>
              <w:rPr>
                <w:rFonts w:ascii="Times New Roman" w:eastAsia="Calibri" w:hAnsi="Times New Roman" w:cs="Times New Roman"/>
                <w:b/>
                <w:bCs/>
                <w:sz w:val="24"/>
                <w:szCs w:val="24"/>
              </w:rPr>
            </w:pPr>
          </w:p>
        </w:tc>
      </w:tr>
      <w:tr w:rsidR="00886354" w:rsidRPr="001C41A6" w14:paraId="1F955F73" w14:textId="77777777" w:rsidTr="3199B330">
        <w:trPr>
          <w:trHeight w:val="300"/>
        </w:trPr>
        <w:tc>
          <w:tcPr>
            <w:tcW w:w="10710" w:type="dxa"/>
          </w:tcPr>
          <w:p w14:paraId="1FB1C440" w14:textId="78A7EC57" w:rsidR="00886354" w:rsidRPr="001C41A6" w:rsidRDefault="00886354" w:rsidP="0014677B">
            <w:pPr>
              <w:tabs>
                <w:tab w:val="left" w:pos="6714"/>
              </w:tabs>
              <w:jc w:val="both"/>
              <w:rPr>
                <w:rFonts w:ascii="Times New Roman" w:eastAsia="Times New Roman" w:hAnsi="Times New Roman" w:cs="Times New Roman"/>
                <w:color w:val="000000"/>
                <w:sz w:val="24"/>
                <w:szCs w:val="24"/>
                <w:lang w:eastAsia="en-GB"/>
              </w:rPr>
            </w:pPr>
            <w:r w:rsidRPr="001C41A6">
              <w:rPr>
                <w:rFonts w:ascii="Times New Roman" w:hAnsi="Times New Roman" w:cs="Times New Roman"/>
                <w:sz w:val="24"/>
                <w:szCs w:val="24"/>
              </w:rPr>
              <w:t>10. Eelnõu § 1 punktiga 7 (seaduse täiendamine § 59</w:t>
            </w:r>
            <w:r w:rsidR="00A238E2">
              <w:rPr>
                <w:rFonts w:ascii="Times New Roman" w:hAnsi="Times New Roman" w:cs="Times New Roman"/>
                <w:sz w:val="24"/>
                <w:szCs w:val="24"/>
              </w:rPr>
              <w:t>(</w:t>
            </w:r>
            <w:r w:rsidRPr="001C41A6">
              <w:rPr>
                <w:rFonts w:ascii="Times New Roman" w:hAnsi="Times New Roman" w:cs="Times New Roman"/>
                <w:sz w:val="24"/>
                <w:szCs w:val="24"/>
              </w:rPr>
              <w:t>2</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lõikega 2</w:t>
            </w:r>
            <w:r w:rsidR="00A238E2">
              <w:rPr>
                <w:rFonts w:ascii="Times New Roman" w:hAnsi="Times New Roman" w:cs="Times New Roman"/>
                <w:sz w:val="24"/>
                <w:szCs w:val="24"/>
              </w:rPr>
              <w:t>(</w:t>
            </w:r>
            <w:r w:rsidRPr="001C41A6">
              <w:rPr>
                <w:rFonts w:ascii="Times New Roman" w:hAnsi="Times New Roman" w:cs="Times New Roman"/>
                <w:sz w:val="24"/>
                <w:szCs w:val="24"/>
              </w:rPr>
              <w:t>1</w:t>
            </w:r>
            <w:r w:rsidR="00A238E2">
              <w:rPr>
                <w:rFonts w:ascii="Times New Roman" w:hAnsi="Times New Roman" w:cs="Times New Roman"/>
                <w:sz w:val="24"/>
                <w:szCs w:val="24"/>
              </w:rPr>
              <w:t>)</w:t>
            </w:r>
            <w:r w:rsidRPr="001C41A6">
              <w:rPr>
                <w:rFonts w:ascii="Times New Roman" w:hAnsi="Times New Roman" w:cs="Times New Roman"/>
                <w:sz w:val="24"/>
                <w:szCs w:val="24"/>
              </w:rPr>
              <w:t>) sätestatakse, et toetuse väljamaksed kaetakse taastuvenergia tasust, mille suuruse arvutab põhivõrguettevõtja ja kogub tarbijatelt. Seletuskiri toob välja, et meretuuleparkide arendamine on seotud suuremate riskide ja ebakindlusega, mille tõttu on meretuuleparkide toetamise hind kõrgem (65 eurot megavatt-tunni eest) võrreldes maismaatuuleparkidega (20 eurot megavatt-tunni eest). Samas ei ole märgitud, millised need on võrreldes maismaatuuleparkidega. Palume seletuskirja täiendada, esitades põhjendused, millega tarbijale kallima meretuulepargi rajamine on põhjendatud, eriti arvestades seletuskirjas toodut, et sellega kaasnevad lisaks suuremad riskid ja ebakindlus. Ka puudub selgitus, millel põhineb maismaa- ja meretuuleparkide toetuse maksimaalsete summade arvutus (maismaatuuleparkidel kuni 20 eurot 12 aastat ja meretuuleparkidel kuni 65 eurot megavatt-tunni eest 20 aastat). Kuna tuuleparkide toetus on osa tarbija poolt elektri eest tasutavast maksumusest, peavad toetuste piirmäärad olema selgelt põhjendatud.</w:t>
            </w:r>
          </w:p>
        </w:tc>
        <w:tc>
          <w:tcPr>
            <w:tcW w:w="3282" w:type="dxa"/>
          </w:tcPr>
          <w:p w14:paraId="3E316B56" w14:textId="77777777" w:rsidR="00886354" w:rsidRPr="00797EDC" w:rsidRDefault="00FB4075" w:rsidP="69ACF809">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Arvestatud</w:t>
            </w:r>
          </w:p>
          <w:p w14:paraId="08F0BDC7" w14:textId="77777777" w:rsidR="001E1E7D" w:rsidRPr="00A82805" w:rsidRDefault="001E1E7D" w:rsidP="00A82805">
            <w:pPr>
              <w:jc w:val="both"/>
              <w:rPr>
                <w:rFonts w:ascii="Times New Roman" w:eastAsia="Calibri" w:hAnsi="Times New Roman" w:cs="Times New Roman"/>
                <w:sz w:val="24"/>
                <w:szCs w:val="24"/>
              </w:rPr>
            </w:pPr>
            <w:r w:rsidRPr="00A82805">
              <w:rPr>
                <w:rFonts w:ascii="Times New Roman" w:eastAsia="Calibri" w:hAnsi="Times New Roman" w:cs="Times New Roman"/>
                <w:sz w:val="24"/>
                <w:szCs w:val="24"/>
              </w:rPr>
              <w:t>Seletuskirja täiendatud.</w:t>
            </w:r>
          </w:p>
          <w:p w14:paraId="16AD3AC3" w14:textId="77777777" w:rsidR="001E1E7D" w:rsidRDefault="001E1E7D" w:rsidP="001E1E7D">
            <w:pPr>
              <w:pStyle w:val="Loendilik"/>
              <w:ind w:left="-23"/>
              <w:jc w:val="both"/>
              <w:rPr>
                <w:rFonts w:ascii="Times New Roman" w:eastAsia="Calibri" w:hAnsi="Times New Roman" w:cs="Times New Roman"/>
                <w:sz w:val="24"/>
                <w:szCs w:val="24"/>
              </w:rPr>
            </w:pPr>
          </w:p>
          <w:p w14:paraId="01C28C84" w14:textId="43641B86" w:rsidR="00C3495F" w:rsidRPr="00797EDC" w:rsidRDefault="00C3495F" w:rsidP="00196DAE">
            <w:pPr>
              <w:pStyle w:val="Loendilik"/>
              <w:ind w:left="-23"/>
              <w:jc w:val="both"/>
              <w:rPr>
                <w:rFonts w:ascii="Times New Roman" w:eastAsia="Calibri" w:hAnsi="Times New Roman" w:cs="Times New Roman"/>
                <w:sz w:val="24"/>
                <w:szCs w:val="24"/>
              </w:rPr>
            </w:pPr>
          </w:p>
        </w:tc>
      </w:tr>
      <w:tr w:rsidR="00886354" w:rsidRPr="001C41A6" w14:paraId="0E5ACE7B" w14:textId="77777777" w:rsidTr="3199B330">
        <w:trPr>
          <w:trHeight w:val="300"/>
        </w:trPr>
        <w:tc>
          <w:tcPr>
            <w:tcW w:w="10710" w:type="dxa"/>
          </w:tcPr>
          <w:p w14:paraId="58D8D314" w14:textId="18761A42" w:rsidR="00886354" w:rsidRPr="001C41A6" w:rsidRDefault="00886354" w:rsidP="0014677B">
            <w:pPr>
              <w:tabs>
                <w:tab w:val="left" w:pos="6714"/>
              </w:tabs>
              <w:jc w:val="both"/>
              <w:rPr>
                <w:rFonts w:ascii="Times New Roman" w:eastAsia="Times New Roman" w:hAnsi="Times New Roman" w:cs="Times New Roman"/>
                <w:color w:val="000000"/>
                <w:sz w:val="24"/>
                <w:szCs w:val="24"/>
                <w:lang w:eastAsia="en-GB"/>
              </w:rPr>
            </w:pPr>
            <w:r w:rsidRPr="001C41A6">
              <w:rPr>
                <w:rFonts w:ascii="Times New Roman" w:hAnsi="Times New Roman" w:cs="Times New Roman"/>
                <w:sz w:val="24"/>
                <w:szCs w:val="24"/>
              </w:rPr>
              <w:t>11. Eelnõu § 1 punktiga 10 muudetakse § 59</w:t>
            </w:r>
            <w:r w:rsidR="00A238E2">
              <w:rPr>
                <w:rFonts w:ascii="Times New Roman" w:hAnsi="Times New Roman" w:cs="Times New Roman"/>
                <w:sz w:val="24"/>
                <w:szCs w:val="24"/>
              </w:rPr>
              <w:t>(</w:t>
            </w:r>
            <w:r w:rsidRPr="001C41A6">
              <w:rPr>
                <w:rFonts w:ascii="Times New Roman" w:hAnsi="Times New Roman" w:cs="Times New Roman"/>
                <w:sz w:val="24"/>
                <w:szCs w:val="24"/>
              </w:rPr>
              <w:t>4</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lõikes 5 seni kehtinud põhimõtet, et vähempakkumise võitja valiku aluseks on üksnes pakutav hind/küsitav toetuse suurus (mõeldud ilmselt täitmishinda (</w:t>
            </w:r>
            <w:proofErr w:type="spellStart"/>
            <w:r w:rsidRPr="001C41A6">
              <w:rPr>
                <w:rFonts w:ascii="Times New Roman" w:hAnsi="Times New Roman" w:cs="Times New Roman"/>
                <w:sz w:val="24"/>
                <w:szCs w:val="24"/>
              </w:rPr>
              <w:t>strike</w:t>
            </w:r>
            <w:proofErr w:type="spellEnd"/>
            <w:r w:rsidRPr="001C41A6">
              <w:rPr>
                <w:rFonts w:ascii="Times New Roman" w:hAnsi="Times New Roman" w:cs="Times New Roman"/>
                <w:sz w:val="24"/>
                <w:szCs w:val="24"/>
              </w:rPr>
              <w:t xml:space="preserve"> </w:t>
            </w:r>
            <w:proofErr w:type="spellStart"/>
            <w:r w:rsidRPr="001C41A6">
              <w:rPr>
                <w:rFonts w:ascii="Times New Roman" w:hAnsi="Times New Roman" w:cs="Times New Roman"/>
                <w:sz w:val="24"/>
                <w:szCs w:val="24"/>
              </w:rPr>
              <w:t>price</w:t>
            </w:r>
            <w:proofErr w:type="spellEnd"/>
            <w:r w:rsidRPr="001C41A6">
              <w:rPr>
                <w:rFonts w:ascii="Times New Roman" w:hAnsi="Times New Roman" w:cs="Times New Roman"/>
                <w:sz w:val="24"/>
                <w:szCs w:val="24"/>
              </w:rPr>
              <w:t xml:space="preserve">)) ja sätestatakse, et vähempakkumistel võib arvesse võtta ka mitterahalisi kriteeriume, kuid lisamata on jäänud selgitus ja näited, milliseid kriteeriume täiendavalt arvesse võetakse ja millisel eesmärgil. Mitterahaliste kriteeriumide arvestamise tagajärjel võib võitjaks osutuda kõrgemat täitmishinda pakkuv ettevõtja, mille </w:t>
            </w:r>
            <w:r w:rsidRPr="001C41A6">
              <w:rPr>
                <w:rFonts w:ascii="Times New Roman" w:hAnsi="Times New Roman" w:cs="Times New Roman"/>
                <w:sz w:val="24"/>
                <w:szCs w:val="24"/>
              </w:rPr>
              <w:lastRenderedPageBreak/>
              <w:t>tulemusena võib tõusta tarbija jaoks pakutava elektri omahind ja selle tagajärjel ka turuhind. Palume seletuskirja täiendada selgitusega, milliseid mitterahalisi kriteeriumeid võib võitja valikul arvesse võtta ja millisel eesmärgil.</w:t>
            </w:r>
          </w:p>
        </w:tc>
        <w:tc>
          <w:tcPr>
            <w:tcW w:w="3282" w:type="dxa"/>
          </w:tcPr>
          <w:p w14:paraId="53747C92" w14:textId="77777777" w:rsidR="00C529FA" w:rsidRPr="00797EDC" w:rsidRDefault="00C529FA" w:rsidP="69ACF809">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lastRenderedPageBreak/>
              <w:t>Arvestame</w:t>
            </w:r>
          </w:p>
          <w:p w14:paraId="112688CD" w14:textId="7BF02966" w:rsidR="00886354" w:rsidRPr="00797EDC" w:rsidRDefault="00A83213" w:rsidP="69ACF809">
            <w:pPr>
              <w:pStyle w:val="Loendilik"/>
              <w:ind w:left="-23"/>
              <w:jc w:val="both"/>
              <w:rPr>
                <w:rFonts w:ascii="Times New Roman" w:eastAsia="Calibri" w:hAnsi="Times New Roman" w:cs="Times New Roman"/>
                <w:sz w:val="24"/>
                <w:szCs w:val="24"/>
              </w:rPr>
            </w:pPr>
            <w:bookmarkStart w:id="2" w:name="_Hlk180144674"/>
            <w:r>
              <w:rPr>
                <w:rFonts w:ascii="Times New Roman" w:eastAsia="Calibri" w:hAnsi="Times New Roman" w:cs="Times New Roman"/>
                <w:sz w:val="24"/>
                <w:szCs w:val="24"/>
              </w:rPr>
              <w:t>Se</w:t>
            </w:r>
            <w:r w:rsidR="00C529FA" w:rsidRPr="013F8064">
              <w:rPr>
                <w:rFonts w:ascii="Times New Roman" w:eastAsia="Calibri" w:hAnsi="Times New Roman" w:cs="Times New Roman"/>
                <w:sz w:val="24"/>
                <w:szCs w:val="24"/>
              </w:rPr>
              <w:t>letuskirja</w:t>
            </w:r>
            <w:r>
              <w:rPr>
                <w:rFonts w:ascii="Times New Roman" w:eastAsia="Calibri" w:hAnsi="Times New Roman" w:cs="Times New Roman"/>
                <w:sz w:val="24"/>
                <w:szCs w:val="24"/>
              </w:rPr>
              <w:t xml:space="preserve"> täpsustatud</w:t>
            </w:r>
            <w:r w:rsidR="013844BA" w:rsidRPr="013F8064">
              <w:rPr>
                <w:rFonts w:ascii="Times New Roman" w:eastAsia="Calibri" w:hAnsi="Times New Roman" w:cs="Times New Roman"/>
                <w:sz w:val="24"/>
                <w:szCs w:val="24"/>
              </w:rPr>
              <w:t xml:space="preserve"> selliselt, et oleks aru saada, et mittehinnalised kriteeriumid kehtivad vaid </w:t>
            </w:r>
            <w:r w:rsidR="013844BA" w:rsidRPr="013F8064">
              <w:rPr>
                <w:rFonts w:ascii="Times New Roman" w:eastAsia="Calibri" w:hAnsi="Times New Roman" w:cs="Times New Roman"/>
                <w:sz w:val="24"/>
                <w:szCs w:val="24"/>
              </w:rPr>
              <w:lastRenderedPageBreak/>
              <w:t>meretuuleparkidele ja lisame ka viite ELTS</w:t>
            </w:r>
            <w:r w:rsidR="02CA2F8D" w:rsidRPr="013F8064">
              <w:rPr>
                <w:rFonts w:ascii="Times New Roman" w:eastAsia="Calibri" w:hAnsi="Times New Roman" w:cs="Times New Roman"/>
                <w:sz w:val="24"/>
                <w:szCs w:val="24"/>
              </w:rPr>
              <w:t xml:space="preserve"> muudetud</w:t>
            </w:r>
            <w:r w:rsidR="013844BA" w:rsidRPr="013F8064">
              <w:rPr>
                <w:rFonts w:ascii="Times New Roman" w:eastAsia="Calibri" w:hAnsi="Times New Roman" w:cs="Times New Roman"/>
                <w:sz w:val="24"/>
                <w:szCs w:val="24"/>
              </w:rPr>
              <w:t xml:space="preserve"> eelnõu </w:t>
            </w:r>
            <w:r w:rsidR="4E44CF3D" w:rsidRPr="013F8064">
              <w:rPr>
                <w:rFonts w:ascii="Times New Roman" w:eastAsia="Calibri" w:hAnsi="Times New Roman" w:cs="Times New Roman"/>
                <w:sz w:val="24"/>
                <w:szCs w:val="24"/>
              </w:rPr>
              <w:t>§-le 59(11) lg 2</w:t>
            </w:r>
            <w:r w:rsidR="013844BA" w:rsidRPr="013F8064">
              <w:rPr>
                <w:rFonts w:ascii="Times New Roman" w:eastAsia="Calibri" w:hAnsi="Times New Roman" w:cs="Times New Roman"/>
                <w:sz w:val="24"/>
                <w:szCs w:val="24"/>
              </w:rPr>
              <w:t xml:space="preserve">. </w:t>
            </w:r>
            <w:bookmarkEnd w:id="2"/>
          </w:p>
        </w:tc>
      </w:tr>
      <w:tr w:rsidR="00886354" w:rsidRPr="001C41A6" w14:paraId="0B6A219B" w14:textId="77777777" w:rsidTr="3199B330">
        <w:trPr>
          <w:trHeight w:val="300"/>
        </w:trPr>
        <w:tc>
          <w:tcPr>
            <w:tcW w:w="10710" w:type="dxa"/>
          </w:tcPr>
          <w:p w14:paraId="5CAEC6FC" w14:textId="3BA5236A" w:rsidR="00886354" w:rsidRPr="001C41A6" w:rsidRDefault="00886354" w:rsidP="0014677B">
            <w:pPr>
              <w:tabs>
                <w:tab w:val="left" w:pos="6714"/>
              </w:tabs>
              <w:jc w:val="both"/>
              <w:rPr>
                <w:rFonts w:ascii="Times New Roman" w:hAnsi="Times New Roman" w:cs="Times New Roman"/>
                <w:sz w:val="24"/>
                <w:szCs w:val="24"/>
              </w:rPr>
            </w:pPr>
            <w:r w:rsidRPr="001C41A6">
              <w:rPr>
                <w:rFonts w:ascii="Times New Roman" w:hAnsi="Times New Roman" w:cs="Times New Roman"/>
                <w:sz w:val="24"/>
                <w:szCs w:val="24"/>
              </w:rPr>
              <w:lastRenderedPageBreak/>
              <w:t>12. Eelnõu § 1 punktis 12 (§ 59</w:t>
            </w:r>
            <w:r w:rsidR="00A238E2">
              <w:rPr>
                <w:rFonts w:ascii="Times New Roman" w:hAnsi="Times New Roman" w:cs="Times New Roman"/>
                <w:sz w:val="24"/>
                <w:szCs w:val="24"/>
              </w:rPr>
              <w:t>(</w:t>
            </w:r>
            <w:r w:rsidRPr="001C41A6">
              <w:rPr>
                <w:rFonts w:ascii="Times New Roman" w:hAnsi="Times New Roman" w:cs="Times New Roman"/>
                <w:sz w:val="24"/>
                <w:szCs w:val="24"/>
              </w:rPr>
              <w:t>4</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lõike 5</w:t>
            </w:r>
            <w:r w:rsidR="0029748F">
              <w:rPr>
                <w:rFonts w:ascii="Times New Roman" w:hAnsi="Times New Roman" w:cs="Times New Roman"/>
                <w:sz w:val="24"/>
                <w:szCs w:val="24"/>
              </w:rPr>
              <w:t>(</w:t>
            </w:r>
            <w:r w:rsidRPr="001C41A6">
              <w:rPr>
                <w:rFonts w:ascii="Times New Roman" w:hAnsi="Times New Roman" w:cs="Times New Roman"/>
                <w:sz w:val="24"/>
                <w:szCs w:val="24"/>
              </w:rPr>
              <w:t>1</w:t>
            </w:r>
            <w:r w:rsidR="0029748F">
              <w:rPr>
                <w:rFonts w:ascii="Times New Roman" w:hAnsi="Times New Roman" w:cs="Times New Roman"/>
                <w:sz w:val="24"/>
                <w:szCs w:val="24"/>
              </w:rPr>
              <w:t>)</w:t>
            </w:r>
            <w:r w:rsidRPr="001C41A6">
              <w:rPr>
                <w:rFonts w:ascii="Times New Roman" w:hAnsi="Times New Roman" w:cs="Times New Roman"/>
                <w:sz w:val="24"/>
                <w:szCs w:val="24"/>
              </w:rPr>
              <w:t xml:space="preserve"> täiendamine, millega viidatakse lõike 5</w:t>
            </w:r>
            <w:r w:rsidR="00A238E2">
              <w:rPr>
                <w:rFonts w:ascii="Times New Roman" w:hAnsi="Times New Roman" w:cs="Times New Roman"/>
                <w:sz w:val="24"/>
                <w:szCs w:val="24"/>
              </w:rPr>
              <w:t>(</w:t>
            </w:r>
            <w:r w:rsidRPr="001C41A6">
              <w:rPr>
                <w:rFonts w:ascii="Times New Roman" w:hAnsi="Times New Roman" w:cs="Times New Roman"/>
                <w:sz w:val="24"/>
                <w:szCs w:val="24"/>
              </w:rPr>
              <w:t>2</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punktile 5) sätestatakse, et Vabariigi Valitsuse korraldusega määratakse meretuulepargi vähempakkumise korral tasakaalustamisteenuse hankimine. Puudub selgitus ja põhjendus, miks on tasakaalustamisteenuse hankimine lisatud üksnes meretuulepargi vähempakkumise korral ja mitte maismaatuulepargi vähempakkumise korral. Palume seletuskirja täiendada.</w:t>
            </w:r>
          </w:p>
        </w:tc>
        <w:tc>
          <w:tcPr>
            <w:tcW w:w="3282" w:type="dxa"/>
          </w:tcPr>
          <w:p w14:paraId="728C85B8" w14:textId="596DF47C" w:rsidR="00886354" w:rsidRPr="00797EDC" w:rsidRDefault="6FCDE632" w:rsidP="0A1ADC85">
            <w:pPr>
              <w:pStyle w:val="Loendilik"/>
              <w:ind w:left="-23"/>
              <w:jc w:val="both"/>
              <w:rPr>
                <w:rFonts w:ascii="Times New Roman" w:eastAsia="Calibri" w:hAnsi="Times New Roman" w:cs="Times New Roman"/>
                <w:b/>
                <w:bCs/>
                <w:sz w:val="24"/>
                <w:szCs w:val="24"/>
              </w:rPr>
            </w:pPr>
            <w:r w:rsidRPr="0A1ADC85">
              <w:rPr>
                <w:rFonts w:ascii="Times New Roman" w:eastAsia="Calibri" w:hAnsi="Times New Roman" w:cs="Times New Roman"/>
                <w:b/>
                <w:bCs/>
                <w:sz w:val="24"/>
                <w:szCs w:val="24"/>
              </w:rPr>
              <w:t>Selgitame</w:t>
            </w:r>
          </w:p>
          <w:p w14:paraId="3814A77C" w14:textId="2CA3D273" w:rsidR="00886354" w:rsidRPr="00797EDC" w:rsidRDefault="6FCDE632" w:rsidP="69ACF809">
            <w:pPr>
              <w:pStyle w:val="Loendilik"/>
              <w:ind w:left="-23"/>
              <w:jc w:val="both"/>
              <w:rPr>
                <w:rFonts w:ascii="Times New Roman" w:eastAsia="Calibri" w:hAnsi="Times New Roman" w:cs="Times New Roman"/>
                <w:sz w:val="24"/>
                <w:szCs w:val="24"/>
              </w:rPr>
            </w:pPr>
            <w:bookmarkStart w:id="3" w:name="_Hlk180144721"/>
            <w:r w:rsidRPr="013F8064">
              <w:rPr>
                <w:rFonts w:ascii="Times New Roman" w:eastAsia="Calibri" w:hAnsi="Times New Roman" w:cs="Times New Roman"/>
                <w:sz w:val="24"/>
                <w:szCs w:val="24"/>
              </w:rPr>
              <w:t>Maismaa toetusskeemi riigiabi luba on v</w:t>
            </w:r>
            <w:r w:rsidR="52028672" w:rsidRPr="013F8064">
              <w:rPr>
                <w:rFonts w:ascii="Times New Roman" w:eastAsia="Calibri" w:hAnsi="Times New Roman" w:cs="Times New Roman"/>
                <w:sz w:val="24"/>
                <w:szCs w:val="24"/>
              </w:rPr>
              <w:t>a</w:t>
            </w:r>
            <w:r w:rsidRPr="013F8064">
              <w:rPr>
                <w:rFonts w:ascii="Times New Roman" w:eastAsia="Calibri" w:hAnsi="Times New Roman" w:cs="Times New Roman"/>
                <w:sz w:val="24"/>
                <w:szCs w:val="24"/>
              </w:rPr>
              <w:t>r</w:t>
            </w:r>
            <w:r w:rsidR="636C7266" w:rsidRPr="013F8064">
              <w:rPr>
                <w:rFonts w:ascii="Times New Roman" w:eastAsia="Calibri" w:hAnsi="Times New Roman" w:cs="Times New Roman"/>
                <w:sz w:val="24"/>
                <w:szCs w:val="24"/>
              </w:rPr>
              <w:t>a</w:t>
            </w:r>
            <w:r w:rsidRPr="013F8064">
              <w:rPr>
                <w:rFonts w:ascii="Times New Roman" w:eastAsia="Calibri" w:hAnsi="Times New Roman" w:cs="Times New Roman"/>
                <w:sz w:val="24"/>
                <w:szCs w:val="24"/>
              </w:rPr>
              <w:t xml:space="preserve">semast ajast ja selle muutmine tähendaks uue riigiabi taotluse esitamist, mida </w:t>
            </w:r>
            <w:r w:rsidR="00A83213">
              <w:rPr>
                <w:rFonts w:ascii="Times New Roman" w:eastAsia="Calibri" w:hAnsi="Times New Roman" w:cs="Times New Roman"/>
                <w:sz w:val="24"/>
                <w:szCs w:val="24"/>
              </w:rPr>
              <w:t>käesolevas muudatuste paketis</w:t>
            </w:r>
            <w:r w:rsidR="00A83213" w:rsidRPr="013F8064">
              <w:rPr>
                <w:rFonts w:ascii="Times New Roman" w:eastAsia="Calibri" w:hAnsi="Times New Roman" w:cs="Times New Roman"/>
                <w:sz w:val="24"/>
                <w:szCs w:val="24"/>
              </w:rPr>
              <w:t xml:space="preserve"> </w:t>
            </w:r>
            <w:r w:rsidRPr="013F8064">
              <w:rPr>
                <w:rFonts w:ascii="Times New Roman" w:eastAsia="Calibri" w:hAnsi="Times New Roman" w:cs="Times New Roman"/>
                <w:sz w:val="24"/>
                <w:szCs w:val="24"/>
              </w:rPr>
              <w:t xml:space="preserve">pole kavandatud. </w:t>
            </w:r>
            <w:bookmarkEnd w:id="3"/>
          </w:p>
        </w:tc>
      </w:tr>
      <w:tr w:rsidR="00886354" w:rsidRPr="001C41A6" w14:paraId="000BDC22" w14:textId="77777777" w:rsidTr="3199B330">
        <w:trPr>
          <w:trHeight w:val="300"/>
        </w:trPr>
        <w:tc>
          <w:tcPr>
            <w:tcW w:w="10710" w:type="dxa"/>
          </w:tcPr>
          <w:p w14:paraId="37BF57BC" w14:textId="305AFF50" w:rsidR="00886354" w:rsidRPr="001C41A6" w:rsidRDefault="00886354" w:rsidP="0014677B">
            <w:pPr>
              <w:tabs>
                <w:tab w:val="left" w:pos="6714"/>
              </w:tabs>
              <w:jc w:val="both"/>
              <w:rPr>
                <w:rFonts w:ascii="Times New Roman" w:hAnsi="Times New Roman" w:cs="Times New Roman"/>
                <w:sz w:val="24"/>
                <w:szCs w:val="24"/>
              </w:rPr>
            </w:pPr>
            <w:bookmarkStart w:id="4" w:name="_Hlk180144765"/>
            <w:r w:rsidRPr="001C41A6">
              <w:rPr>
                <w:rFonts w:ascii="Times New Roman" w:hAnsi="Times New Roman" w:cs="Times New Roman"/>
                <w:sz w:val="24"/>
                <w:szCs w:val="24"/>
              </w:rPr>
              <w:t>13. Eelnõu § 1 punktiga 14 (§ 59</w:t>
            </w:r>
            <w:r w:rsidR="00A238E2">
              <w:rPr>
                <w:rFonts w:ascii="Times New Roman" w:hAnsi="Times New Roman" w:cs="Times New Roman"/>
                <w:sz w:val="24"/>
                <w:szCs w:val="24"/>
              </w:rPr>
              <w:t>(</w:t>
            </w:r>
            <w:r w:rsidRPr="001C41A6">
              <w:rPr>
                <w:rFonts w:ascii="Times New Roman" w:hAnsi="Times New Roman" w:cs="Times New Roman"/>
                <w:sz w:val="24"/>
                <w:szCs w:val="24"/>
              </w:rPr>
              <w:t>4</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lõiget 5</w:t>
            </w:r>
            <w:r w:rsidR="00A238E2">
              <w:rPr>
                <w:rFonts w:ascii="Times New Roman" w:hAnsi="Times New Roman" w:cs="Times New Roman"/>
                <w:sz w:val="24"/>
                <w:szCs w:val="24"/>
              </w:rPr>
              <w:t>(</w:t>
            </w:r>
            <w:r w:rsidRPr="001C41A6">
              <w:rPr>
                <w:rFonts w:ascii="Times New Roman" w:hAnsi="Times New Roman" w:cs="Times New Roman"/>
                <w:sz w:val="24"/>
                <w:szCs w:val="24"/>
              </w:rPr>
              <w:t>2</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 sätestatakse muudatus, mille kohaselt on võimalik korraldada eraldi vähempakkumine, mis on suunatud kas üksnes uutele maismaatuuleparkidele või üksnes uutele meretuuleparkidele. Seletuskirjas ei ole selgitatud ühe või teise tootmisseadme tüübi eelistamist eraldi vähempakkumistel. Meretuuleparkide ehitamine ja hooldamine on kallim ja suurendab riske, ühtlasi vajab suuremat toetust, mis omakorda suurendab tarbija makstavat elektri hinda ning suurendab elektri kui majandustegevuse sisendi hinda. Seega peame vajalikuks sellise valiku selgitamist ja ratsionaalset argumenteerimist. Arvestades meretuuleparkide rajamise suhtelist kallidust tuleks eriti eraldi vähempakkumiste korral kasutada pakkumises esitatud täitmishinnale lae kehtestamist, et vältida ohtu liiga kõrge omahinnaga elektri võrku toomist. Lisaks palun selgitada, kuidas toimub vähempakkumine ja võitja(te) väljaselgitamine, kui vähempakkumine toimub konkreetse tehnoloogia eelistust sätestamata (st võivad korraga pakkuda nii mere- kui ka maismaatuulepargid).</w:t>
            </w:r>
          </w:p>
        </w:tc>
        <w:tc>
          <w:tcPr>
            <w:tcW w:w="3282" w:type="dxa"/>
          </w:tcPr>
          <w:p w14:paraId="18434E06" w14:textId="77777777" w:rsidR="00645956" w:rsidRPr="00797EDC" w:rsidRDefault="00645956" w:rsidP="69ACF809">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Selgitame</w:t>
            </w:r>
          </w:p>
          <w:p w14:paraId="42F1E7CA" w14:textId="6EE204E6" w:rsidR="00645956" w:rsidRPr="00797EDC" w:rsidRDefault="00645956" w:rsidP="00645956">
            <w:pPr>
              <w:pStyle w:val="Loendilik"/>
              <w:ind w:left="-23"/>
              <w:jc w:val="both"/>
              <w:rPr>
                <w:rFonts w:ascii="Times New Roman" w:eastAsia="Calibri" w:hAnsi="Times New Roman" w:cs="Times New Roman"/>
                <w:sz w:val="24"/>
                <w:szCs w:val="24"/>
              </w:rPr>
            </w:pPr>
            <w:r w:rsidRPr="013F8064">
              <w:rPr>
                <w:rFonts w:ascii="Times New Roman" w:eastAsia="Calibri" w:hAnsi="Times New Roman" w:cs="Times New Roman"/>
                <w:sz w:val="24"/>
                <w:szCs w:val="24"/>
              </w:rPr>
              <w:t>Vähempakkumi</w:t>
            </w:r>
            <w:r w:rsidR="49BB2494" w:rsidRPr="013F8064">
              <w:rPr>
                <w:rFonts w:ascii="Times New Roman" w:eastAsia="Calibri" w:hAnsi="Times New Roman" w:cs="Times New Roman"/>
                <w:sz w:val="24"/>
                <w:szCs w:val="24"/>
              </w:rPr>
              <w:t>sed viiakse läbi</w:t>
            </w:r>
            <w:r w:rsidRPr="013F8064">
              <w:rPr>
                <w:rFonts w:ascii="Times New Roman" w:eastAsia="Calibri" w:hAnsi="Times New Roman" w:cs="Times New Roman"/>
                <w:sz w:val="24"/>
                <w:szCs w:val="24"/>
              </w:rPr>
              <w:t xml:space="preserve"> maismaa- ja meretuule</w:t>
            </w:r>
            <w:r w:rsidR="48BBB843" w:rsidRPr="013F8064">
              <w:rPr>
                <w:rFonts w:ascii="Times New Roman" w:eastAsia="Calibri" w:hAnsi="Times New Roman" w:cs="Times New Roman"/>
                <w:sz w:val="24"/>
                <w:szCs w:val="24"/>
              </w:rPr>
              <w:t>pa</w:t>
            </w:r>
            <w:r w:rsidRPr="013F8064">
              <w:rPr>
                <w:rFonts w:ascii="Times New Roman" w:eastAsia="Calibri" w:hAnsi="Times New Roman" w:cs="Times New Roman"/>
                <w:sz w:val="24"/>
                <w:szCs w:val="24"/>
              </w:rPr>
              <w:t>r</w:t>
            </w:r>
            <w:r w:rsidR="4F78E635" w:rsidRPr="013F8064">
              <w:rPr>
                <w:rFonts w:ascii="Times New Roman" w:eastAsia="Calibri" w:hAnsi="Times New Roman" w:cs="Times New Roman"/>
                <w:sz w:val="24"/>
                <w:szCs w:val="24"/>
              </w:rPr>
              <w:t>kidele</w:t>
            </w:r>
            <w:r w:rsidRPr="013F8064">
              <w:rPr>
                <w:rFonts w:ascii="Times New Roman" w:eastAsia="Calibri" w:hAnsi="Times New Roman" w:cs="Times New Roman"/>
                <w:sz w:val="24"/>
                <w:szCs w:val="24"/>
              </w:rPr>
              <w:t xml:space="preserve"> eraldi</w:t>
            </w:r>
            <w:r w:rsidR="31CD9505" w:rsidRPr="013F8064">
              <w:rPr>
                <w:rFonts w:ascii="Times New Roman" w:eastAsia="Calibri" w:hAnsi="Times New Roman" w:cs="Times New Roman"/>
                <w:sz w:val="24"/>
                <w:szCs w:val="24"/>
              </w:rPr>
              <w:t xml:space="preserve"> ja seega </w:t>
            </w:r>
            <w:r w:rsidR="4D16404E" w:rsidRPr="013F8064">
              <w:rPr>
                <w:rFonts w:ascii="Times New Roman" w:eastAsia="Calibri" w:hAnsi="Times New Roman" w:cs="Times New Roman"/>
                <w:sz w:val="24"/>
                <w:szCs w:val="24"/>
              </w:rPr>
              <w:t>toimub ka</w:t>
            </w:r>
            <w:r w:rsidRPr="013F8064">
              <w:rPr>
                <w:rFonts w:ascii="Times New Roman" w:eastAsia="Calibri" w:hAnsi="Times New Roman" w:cs="Times New Roman"/>
                <w:sz w:val="24"/>
                <w:szCs w:val="24"/>
              </w:rPr>
              <w:t xml:space="preserve"> </w:t>
            </w:r>
            <w:r w:rsidR="71BD13C1" w:rsidRPr="013F8064">
              <w:rPr>
                <w:rFonts w:ascii="Times New Roman" w:eastAsia="Calibri" w:hAnsi="Times New Roman" w:cs="Times New Roman"/>
                <w:sz w:val="24"/>
                <w:szCs w:val="24"/>
              </w:rPr>
              <w:t>võitjate väljaselgitami</w:t>
            </w:r>
            <w:r w:rsidR="621DCC8C" w:rsidRPr="013F8064">
              <w:rPr>
                <w:rFonts w:ascii="Times New Roman" w:eastAsia="Calibri" w:hAnsi="Times New Roman" w:cs="Times New Roman"/>
                <w:sz w:val="24"/>
                <w:szCs w:val="24"/>
              </w:rPr>
              <w:t xml:space="preserve">ne maismaa- ja meretuuleparkidele eraldi. </w:t>
            </w:r>
          </w:p>
          <w:p w14:paraId="42959898" w14:textId="547F0B71" w:rsidR="0029748F" w:rsidRPr="00797EDC" w:rsidRDefault="0029748F" w:rsidP="69ACF809">
            <w:pPr>
              <w:pStyle w:val="Loendilik"/>
              <w:ind w:left="-23"/>
              <w:jc w:val="both"/>
              <w:rPr>
                <w:rFonts w:ascii="Times New Roman" w:eastAsia="Calibri" w:hAnsi="Times New Roman" w:cs="Times New Roman"/>
                <w:b/>
                <w:bCs/>
                <w:sz w:val="24"/>
                <w:szCs w:val="24"/>
              </w:rPr>
            </w:pPr>
          </w:p>
        </w:tc>
      </w:tr>
      <w:tr w:rsidR="00886354" w:rsidRPr="001C41A6" w14:paraId="2D406BA4" w14:textId="77777777" w:rsidTr="3199B330">
        <w:trPr>
          <w:trHeight w:val="300"/>
        </w:trPr>
        <w:tc>
          <w:tcPr>
            <w:tcW w:w="10710" w:type="dxa"/>
          </w:tcPr>
          <w:p w14:paraId="715CEB27" w14:textId="31764D05" w:rsidR="00886354" w:rsidRPr="001C41A6" w:rsidRDefault="00886354" w:rsidP="0014677B">
            <w:pPr>
              <w:tabs>
                <w:tab w:val="left" w:pos="6714"/>
              </w:tabs>
              <w:jc w:val="both"/>
              <w:rPr>
                <w:rFonts w:ascii="Times New Roman" w:hAnsi="Times New Roman" w:cs="Times New Roman"/>
                <w:sz w:val="24"/>
                <w:szCs w:val="24"/>
              </w:rPr>
            </w:pPr>
            <w:bookmarkStart w:id="5" w:name="_Hlk180144823"/>
            <w:bookmarkEnd w:id="4"/>
            <w:r w:rsidRPr="001C41A6">
              <w:rPr>
                <w:rFonts w:ascii="Times New Roman" w:hAnsi="Times New Roman" w:cs="Times New Roman"/>
                <w:sz w:val="24"/>
                <w:szCs w:val="24"/>
              </w:rPr>
              <w:t>14. Eelnõu § 1 punktiga 17 (§ 59</w:t>
            </w:r>
            <w:r w:rsidR="00A238E2">
              <w:rPr>
                <w:rFonts w:ascii="Times New Roman" w:hAnsi="Times New Roman" w:cs="Times New Roman"/>
                <w:sz w:val="24"/>
                <w:szCs w:val="24"/>
              </w:rPr>
              <w:t>(</w:t>
            </w:r>
            <w:r w:rsidRPr="001C41A6">
              <w:rPr>
                <w:rFonts w:ascii="Times New Roman" w:hAnsi="Times New Roman" w:cs="Times New Roman"/>
                <w:sz w:val="24"/>
                <w:szCs w:val="24"/>
              </w:rPr>
              <w:t>4</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lõige 1</w:t>
            </w:r>
            <w:r w:rsidR="00A238E2">
              <w:rPr>
                <w:rFonts w:ascii="Times New Roman" w:hAnsi="Times New Roman" w:cs="Times New Roman"/>
                <w:sz w:val="24"/>
                <w:szCs w:val="24"/>
              </w:rPr>
              <w:t>(</w:t>
            </w:r>
            <w:r w:rsidRPr="001C41A6">
              <w:rPr>
                <w:rFonts w:ascii="Times New Roman" w:hAnsi="Times New Roman" w:cs="Times New Roman"/>
                <w:sz w:val="24"/>
                <w:szCs w:val="24"/>
              </w:rPr>
              <w:t>1</w:t>
            </w:r>
            <w:r w:rsidR="00A238E2">
              <w:rPr>
                <w:rFonts w:ascii="Times New Roman" w:hAnsi="Times New Roman" w:cs="Times New Roman"/>
                <w:sz w:val="24"/>
                <w:szCs w:val="24"/>
              </w:rPr>
              <w:t>)</w:t>
            </w:r>
            <w:r w:rsidRPr="001C41A6">
              <w:rPr>
                <w:rFonts w:ascii="Times New Roman" w:hAnsi="Times New Roman" w:cs="Times New Roman"/>
                <w:sz w:val="24"/>
                <w:szCs w:val="24"/>
              </w:rPr>
              <w:t>) sätestatakse, et meretuuleparkidele makstava toetuse kestus on maismaatuuleparkide 12 aasta kõrval 20 aastat ning seletuskirjas esitatakse põhjendused, miks on mõistlik pikemat toetusperioodi meretuuleparkidele ette näha. Samas ei selgu seletuskirjast, miks on kallimat ja riske suurendavat meretuuleparkide ehitust põhjendatud edendada. Palume seletuskirja täiendada.</w:t>
            </w:r>
          </w:p>
        </w:tc>
        <w:tc>
          <w:tcPr>
            <w:tcW w:w="3282" w:type="dxa"/>
          </w:tcPr>
          <w:p w14:paraId="060827E0" w14:textId="287A4AEC" w:rsidR="00E70BE0" w:rsidRPr="00797EDC" w:rsidRDefault="405228B3" w:rsidP="69ACF809">
            <w:pPr>
              <w:pStyle w:val="Loendilik"/>
              <w:ind w:left="-23"/>
              <w:jc w:val="both"/>
              <w:rPr>
                <w:rFonts w:ascii="Times New Roman" w:eastAsia="Calibri" w:hAnsi="Times New Roman" w:cs="Times New Roman"/>
                <w:b/>
                <w:bCs/>
                <w:sz w:val="24"/>
                <w:szCs w:val="24"/>
              </w:rPr>
            </w:pPr>
            <w:r w:rsidRPr="013F8064">
              <w:rPr>
                <w:rFonts w:ascii="Times New Roman" w:eastAsia="Calibri" w:hAnsi="Times New Roman" w:cs="Times New Roman"/>
                <w:b/>
                <w:bCs/>
                <w:sz w:val="24"/>
                <w:szCs w:val="24"/>
              </w:rPr>
              <w:t>Arvestatud</w:t>
            </w:r>
          </w:p>
          <w:p w14:paraId="4425AD7C" w14:textId="4CA96DD7" w:rsidR="405228B3" w:rsidRPr="00BA5D9A" w:rsidRDefault="00BA5D9A" w:rsidP="00BA5D9A">
            <w:pPr>
              <w:jc w:val="both"/>
              <w:rPr>
                <w:rFonts w:ascii="Times New Roman" w:eastAsia="Calibri" w:hAnsi="Times New Roman" w:cs="Times New Roman"/>
                <w:sz w:val="24"/>
                <w:szCs w:val="24"/>
              </w:rPr>
            </w:pPr>
            <w:r w:rsidRPr="00BA5D9A">
              <w:rPr>
                <w:rFonts w:ascii="Times New Roman" w:eastAsia="Calibri" w:hAnsi="Times New Roman" w:cs="Times New Roman"/>
                <w:sz w:val="24"/>
                <w:szCs w:val="24"/>
              </w:rPr>
              <w:t>Seletuskiri täiendatud</w:t>
            </w:r>
          </w:p>
          <w:p w14:paraId="39F4E82C" w14:textId="77777777" w:rsidR="00E22900" w:rsidRPr="00BA5D9A" w:rsidRDefault="00E22900" w:rsidP="00BA5D9A">
            <w:pPr>
              <w:jc w:val="both"/>
              <w:rPr>
                <w:rFonts w:ascii="Times New Roman" w:eastAsia="Calibri" w:hAnsi="Times New Roman" w:cs="Times New Roman"/>
                <w:sz w:val="24"/>
                <w:szCs w:val="24"/>
              </w:rPr>
            </w:pPr>
            <w:r w:rsidRPr="00BA5D9A">
              <w:rPr>
                <w:rFonts w:ascii="Times New Roman" w:eastAsia="Calibri" w:hAnsi="Times New Roman" w:cs="Times New Roman"/>
                <w:sz w:val="24"/>
                <w:szCs w:val="24"/>
              </w:rPr>
              <w:t xml:space="preserve">Viimane taastuvelektri vähempakkumine oli korraldatud sarnastel tingimustel nagu eelnõus sätestatud tingimused tulevastele maismaatuulele  vähempakkumistele, sealjuures toetuse maksimaalne määr 20 €/MWh kohta ning 12-aastane toetuse periood. Vähempakkumisel vastavaks ja valituks osutunud pakkumistest oli soodsaim alla 22 €/MWh. </w:t>
            </w:r>
            <w:r w:rsidRPr="00BA5D9A">
              <w:rPr>
                <w:rFonts w:ascii="Times New Roman" w:eastAsia="Calibri" w:hAnsi="Times New Roman" w:cs="Times New Roman"/>
                <w:sz w:val="24"/>
                <w:szCs w:val="24"/>
              </w:rPr>
              <w:lastRenderedPageBreak/>
              <w:t>Kavas on jätkata sarnaste meetme tingimustega ka edaspidi.</w:t>
            </w:r>
          </w:p>
          <w:p w14:paraId="037BA539" w14:textId="77777777" w:rsidR="00E22900" w:rsidRDefault="00E22900" w:rsidP="00E22900">
            <w:pPr>
              <w:pStyle w:val="Loendilik"/>
              <w:ind w:left="-23"/>
              <w:jc w:val="both"/>
              <w:rPr>
                <w:rFonts w:ascii="Times New Roman" w:eastAsia="Calibri" w:hAnsi="Times New Roman" w:cs="Times New Roman"/>
                <w:sz w:val="24"/>
                <w:szCs w:val="24"/>
              </w:rPr>
            </w:pPr>
          </w:p>
          <w:p w14:paraId="14B635F3" w14:textId="780BF74A" w:rsidR="00886354" w:rsidRPr="0077086F" w:rsidRDefault="00E22900" w:rsidP="008E11DF">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sz w:val="24"/>
                <w:szCs w:val="24"/>
              </w:rPr>
              <w:t>Meretuuleparkide toetuste maksimaalsete summade ja toetuse kestuse määramisel on lähtutud rahvusvahelisest praktikast, mille järgi 20 aastat on levinuim meretuuleparkide toetuse meetme kestvuse periood ning riigiabi loa taotluse raames koostatud rahastamisvajaku analüüsist</w:t>
            </w:r>
            <w:r w:rsidR="00F11C9B">
              <w:rPr>
                <w:rFonts w:ascii="Times New Roman" w:eastAsia="Calibri" w:hAnsi="Times New Roman" w:cs="Times New Roman"/>
                <w:sz w:val="24"/>
                <w:szCs w:val="24"/>
              </w:rPr>
              <w:t xml:space="preserve">. </w:t>
            </w:r>
          </w:p>
        </w:tc>
      </w:tr>
      <w:bookmarkEnd w:id="5"/>
      <w:tr w:rsidR="00886354" w:rsidRPr="001C41A6" w14:paraId="257DB103" w14:textId="77777777" w:rsidTr="3199B330">
        <w:trPr>
          <w:trHeight w:val="300"/>
        </w:trPr>
        <w:tc>
          <w:tcPr>
            <w:tcW w:w="10710" w:type="dxa"/>
          </w:tcPr>
          <w:p w14:paraId="146C5D97" w14:textId="7690CE5A" w:rsidR="00886354" w:rsidRPr="001C41A6" w:rsidRDefault="00886354" w:rsidP="0014677B">
            <w:pPr>
              <w:tabs>
                <w:tab w:val="left" w:pos="6714"/>
              </w:tabs>
              <w:jc w:val="both"/>
              <w:rPr>
                <w:rFonts w:ascii="Times New Roman" w:hAnsi="Times New Roman" w:cs="Times New Roman"/>
                <w:sz w:val="24"/>
                <w:szCs w:val="24"/>
              </w:rPr>
            </w:pPr>
            <w:r w:rsidRPr="001C41A6">
              <w:rPr>
                <w:rFonts w:ascii="Times New Roman" w:hAnsi="Times New Roman" w:cs="Times New Roman"/>
                <w:sz w:val="24"/>
                <w:szCs w:val="24"/>
              </w:rPr>
              <w:lastRenderedPageBreak/>
              <w:t>15. Eelnõu § 1 punkti 25 (§ 59</w:t>
            </w:r>
            <w:r w:rsidR="00A238E2">
              <w:rPr>
                <w:rFonts w:ascii="Times New Roman" w:hAnsi="Times New Roman" w:cs="Times New Roman"/>
                <w:sz w:val="24"/>
                <w:szCs w:val="24"/>
              </w:rPr>
              <w:t>(</w:t>
            </w:r>
            <w:r w:rsidRPr="001C41A6">
              <w:rPr>
                <w:rFonts w:ascii="Times New Roman" w:hAnsi="Times New Roman" w:cs="Times New Roman"/>
                <w:sz w:val="24"/>
                <w:szCs w:val="24"/>
              </w:rPr>
              <w:t>9</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lõige 3) kohta seletuskirjas toodud selgituses viidatakse vajadusele, et riigiabil oleks ergutav mõju (komisjoni määruse (EL) nr 651/2014 artikkel 6 lõige 2). Juhime tähelepanu, et eelnimetatud komisjoni määruse artikkel 6 lõike 5 punkti o kohaselt ei nõuta ergutava mõju olemasolu või loetakse, et see on olemas mh sama määruse art 42 puhul, s.o juhul, kui abi antakse automaatselt vastavalt objektiivsetele ja mittediskrimineerivatele kriteeriumidele ja ilma liikmesriigi edasise kaalutlusõiguseta ning meede on vastu võetud ja jõustatud enne töö alustamist toetatava projekti või tegevusega. Samas võib liikmesriik anda abi ka karmimatel tingimustel ehk et me ei vaidlusta eelnõu punkti 25 (§ 59</w:t>
            </w:r>
            <w:r w:rsidR="00A238E2">
              <w:rPr>
                <w:rFonts w:ascii="Times New Roman" w:hAnsi="Times New Roman" w:cs="Times New Roman"/>
                <w:sz w:val="24"/>
                <w:szCs w:val="24"/>
              </w:rPr>
              <w:t>(</w:t>
            </w:r>
            <w:r w:rsidRPr="001C41A6">
              <w:rPr>
                <w:rFonts w:ascii="Times New Roman" w:hAnsi="Times New Roman" w:cs="Times New Roman"/>
                <w:sz w:val="24"/>
                <w:szCs w:val="24"/>
              </w:rPr>
              <w:t>9</w:t>
            </w:r>
            <w:r w:rsidR="00A238E2">
              <w:rPr>
                <w:rFonts w:ascii="Times New Roman" w:hAnsi="Times New Roman" w:cs="Times New Roman"/>
                <w:sz w:val="24"/>
                <w:szCs w:val="24"/>
              </w:rPr>
              <w:t>)</w:t>
            </w:r>
            <w:r w:rsidRPr="001C41A6">
              <w:rPr>
                <w:rFonts w:ascii="Times New Roman" w:hAnsi="Times New Roman" w:cs="Times New Roman"/>
                <w:sz w:val="24"/>
                <w:szCs w:val="24"/>
              </w:rPr>
              <w:t xml:space="preserve"> lõige 3) tingimust, vaid lihtsalt juhime tähelepanu võimalikule erandile riigiabi ergutavast mõjust.</w:t>
            </w:r>
          </w:p>
        </w:tc>
        <w:tc>
          <w:tcPr>
            <w:tcW w:w="3282" w:type="dxa"/>
          </w:tcPr>
          <w:p w14:paraId="1C4F33AA" w14:textId="4A98078D" w:rsidR="00886354" w:rsidRPr="00797EDC" w:rsidRDefault="0029748F" w:rsidP="69ACF809">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Võtame teadmiseks</w:t>
            </w:r>
          </w:p>
        </w:tc>
      </w:tr>
      <w:tr w:rsidR="00C16497" w:rsidRPr="001C41A6" w14:paraId="563F4E94" w14:textId="77777777" w:rsidTr="3199B330">
        <w:trPr>
          <w:trHeight w:val="300"/>
        </w:trPr>
        <w:tc>
          <w:tcPr>
            <w:tcW w:w="10710" w:type="dxa"/>
          </w:tcPr>
          <w:p w14:paraId="76B2A392" w14:textId="258EF34A" w:rsidR="00C16497" w:rsidRPr="001C41A6" w:rsidRDefault="00C16497" w:rsidP="00C16497">
            <w:pPr>
              <w:tabs>
                <w:tab w:val="left" w:pos="6714"/>
              </w:tabs>
              <w:jc w:val="both"/>
              <w:rPr>
                <w:rFonts w:ascii="Times New Roman" w:hAnsi="Times New Roman" w:cs="Times New Roman"/>
                <w:sz w:val="24"/>
                <w:szCs w:val="24"/>
              </w:rPr>
            </w:pPr>
            <w:bookmarkStart w:id="6" w:name="_Hlk180144935"/>
            <w:r w:rsidRPr="001C41A6">
              <w:rPr>
                <w:rFonts w:ascii="Times New Roman" w:hAnsi="Times New Roman" w:cs="Times New Roman"/>
                <w:sz w:val="24"/>
                <w:szCs w:val="24"/>
              </w:rPr>
              <w:t xml:space="preserve">16. Eelnõu § 1 punkti 25 selgituses (lõike 4 lisamine ELTS § 59(9) ) tuuakse välja, et kui vähempakkumise tulemusel saavad õiguse toetusele kõik vähempakkumisel osalenud pakkujad, tuleb tõhusa konkurentsi taastamiseks kõrvaldada pakkumise reastamisel viimaseks jäänud pakkumus. Selline reegel vajab täiendavat selgitamist. Pakkumuste arv võib varieeruda alates kahest pakkujast ülespoole – tekib küsimus, kuidas taastub tõhus konkurents, kui näiteks kahe pakkuja korral kõrvaldatakse teiseks jäänud pakkuja või rohkema arvu pakkujate korral ainult viimane. Palume seletuskirjas täiendavalt selgitada, kuidas viimase pakkuja kõrvaldamine taastab tõhusa konkurentsi. Sama punktiga lisatavas ELTS § 59(10) lõikes 4 sätestatakse, et toetust makstakse kahepoolse hinnavahelepingu põhimõttel ning seletuskirjas täpsustatakse, et riigi ja toetuse saaja vahel ei sõlmita eraldi lepingut, vaid toetuse andmine ja rahaliste maksete tegemine toimub seaduse ja Vabariigi Valitsuse korralduse alusel. Samas on seletuskirja punktides 5, 18 ja 20 viidatud hinnavahelepingule kui eraldi sõlmitavale lepingule konkreetsete tingimustega. Palume täpsustada seletuskirja ja kõrvaldada ebaselgus, kas hinnavaheleping sõlmitakse eraldi lepinguna või lähtutakse sellistest põhimõtetest seaduse ja Vabariigi Valitsuse korralduse alusel. Kui kasutusel on mõlemad lähenemised, palun need selgelt eristada ning erinev lähenemine põhjendada. Lisaks juhime tähelepanu, et seletuskirjas toodud selgituses on kirjas, mis on </w:t>
            </w:r>
            <w:r w:rsidRPr="001C41A6">
              <w:rPr>
                <w:rFonts w:ascii="Times New Roman" w:hAnsi="Times New Roman" w:cs="Times New Roman"/>
                <w:sz w:val="24"/>
                <w:szCs w:val="24"/>
              </w:rPr>
              <w:lastRenderedPageBreak/>
              <w:t xml:space="preserve">kahepoolne hinnavaheleping, viitega mh riigiabi ajutise raamistiku punktile 78e ja sellega seotud </w:t>
            </w:r>
            <w:proofErr w:type="spellStart"/>
            <w:r w:rsidRPr="001C41A6">
              <w:rPr>
                <w:rFonts w:ascii="Times New Roman" w:hAnsi="Times New Roman" w:cs="Times New Roman"/>
                <w:sz w:val="24"/>
                <w:szCs w:val="24"/>
              </w:rPr>
              <w:t>allmärkusele</w:t>
            </w:r>
            <w:proofErr w:type="spellEnd"/>
            <w:r w:rsidRPr="001C41A6">
              <w:rPr>
                <w:rFonts w:ascii="Times New Roman" w:hAnsi="Times New Roman" w:cs="Times New Roman"/>
                <w:sz w:val="24"/>
                <w:szCs w:val="24"/>
              </w:rPr>
              <w:t xml:space="preserve"> 117. Viidatud </w:t>
            </w:r>
            <w:proofErr w:type="spellStart"/>
            <w:r w:rsidRPr="001C41A6">
              <w:rPr>
                <w:rFonts w:ascii="Times New Roman" w:hAnsi="Times New Roman" w:cs="Times New Roman"/>
                <w:sz w:val="24"/>
                <w:szCs w:val="24"/>
              </w:rPr>
              <w:t>allmärkuses</w:t>
            </w:r>
            <w:proofErr w:type="spellEnd"/>
            <w:r w:rsidRPr="001C41A6">
              <w:rPr>
                <w:rFonts w:ascii="Times New Roman" w:hAnsi="Times New Roman" w:cs="Times New Roman"/>
                <w:sz w:val="24"/>
                <w:szCs w:val="24"/>
              </w:rPr>
              <w:t xml:space="preserve"> 117 on kirjas, et tegemist on lepinguga („Kahesuunaline hinnavaheleping tähendab elektrienergia tootmise seadme käitaja ja vastaspoole – harilikult avaliku sektori asutuse – sõlmitud lepingut, mis ühelt poolt garanteerib miinimumtasu ja teisalt seab piirid </w:t>
            </w:r>
            <w:proofErr w:type="spellStart"/>
            <w:r w:rsidRPr="001C41A6">
              <w:rPr>
                <w:rFonts w:ascii="Times New Roman" w:hAnsi="Times New Roman" w:cs="Times New Roman"/>
                <w:sz w:val="24"/>
                <w:szCs w:val="24"/>
              </w:rPr>
              <w:t>ületasustamisele</w:t>
            </w:r>
            <w:proofErr w:type="spellEnd"/>
            <w:r w:rsidRPr="001C41A6">
              <w:rPr>
                <w:rFonts w:ascii="Times New Roman" w:hAnsi="Times New Roman" w:cs="Times New Roman"/>
                <w:sz w:val="24"/>
                <w:szCs w:val="24"/>
              </w:rPr>
              <w:t>. Leping on koostatud eesmärgiga säilitada elektrienergia tootja stiimulid tegutsemiseks ja tõhusaks energiaturul osalemiseks.“). Kuna riigiabi luba meretuuleparkide toetamiseks taotletakse riigiabi ajutise raamistiku alusel, on vaja ka seletuskirjas selgitada, kas see aspekt, et lepingut ei sõlmita, on Euroopa Komisjoniga läbi arutatud. Ühtlasi toome välja, et eelistatud on termini „kahesuunaline hinnavaheleping“ või alternatiivselt „kahe lävendiga hinnavaheleping“ läbiv kasutus. ELTS täiendamisel § 59(10) lõikega 13 märgitakse, et tasakaalustamisteenuse pakkumine ei ole kohustuslik. Samas sõnastus, mis lisatakse ELTS § 59(4) lõike 5(1) punkt 7 viitab pigem, et tasakaalustamisteenuse pakkumine ei ole pakkujale vabatahtlik, vaid tuleneb Vabariigi Valitsuse korraldusest. Seega ei ole selle lisatud sättega kooskõlas seletuskirjas märgitu, et tasakaalustamisteenuse pakkumine ei ole kohustuslik.</w:t>
            </w:r>
            <w:bookmarkEnd w:id="6"/>
          </w:p>
        </w:tc>
        <w:tc>
          <w:tcPr>
            <w:tcW w:w="3282" w:type="dxa"/>
          </w:tcPr>
          <w:p w14:paraId="15894105" w14:textId="77777777" w:rsidR="00C16497" w:rsidRPr="00797EDC" w:rsidRDefault="00C16497" w:rsidP="00C16497">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Selgitame</w:t>
            </w:r>
          </w:p>
          <w:p w14:paraId="4D901BC1" w14:textId="697BC1BD" w:rsidR="00C16497" w:rsidRPr="00FD66D0" w:rsidRDefault="00C16497" w:rsidP="00C16497">
            <w:pPr>
              <w:jc w:val="both"/>
              <w:rPr>
                <w:rFonts w:ascii="Times New Roman" w:eastAsia="Times New Roman" w:hAnsi="Times New Roman" w:cs="Times New Roman"/>
                <w:sz w:val="24"/>
                <w:szCs w:val="24"/>
              </w:rPr>
            </w:pPr>
            <w:r w:rsidRPr="00FD66D0">
              <w:rPr>
                <w:rFonts w:ascii="Times New Roman" w:hAnsi="Times New Roman" w:cs="Times New Roman"/>
                <w:sz w:val="24"/>
                <w:szCs w:val="24"/>
              </w:rPr>
              <w:t xml:space="preserve">Selgitame, et viimase pakkuja kõrvaldamine tagab, et kui pakkujaid on vähe, siis kõik vähempakkumisel osalejad ei saa automaatselt toetust ning selliselt peaks see soodustama konkurentsi toetuse saamisel ja ühtlasi avaldama positiivset mõju pakkumuste hinnale. </w:t>
            </w:r>
            <w:r w:rsidR="00A252EB">
              <w:rPr>
                <w:rFonts w:ascii="Times New Roman" w:eastAsia="Times New Roman" w:hAnsi="Times New Roman" w:cs="Times New Roman"/>
                <w:sz w:val="24"/>
                <w:szCs w:val="24"/>
              </w:rPr>
              <w:t>S</w:t>
            </w:r>
            <w:r w:rsidRPr="00FD66D0">
              <w:rPr>
                <w:rFonts w:ascii="Times New Roman" w:eastAsia="Times New Roman" w:hAnsi="Times New Roman" w:cs="Times New Roman"/>
                <w:sz w:val="24"/>
                <w:szCs w:val="24"/>
              </w:rPr>
              <w:t xml:space="preserve">ee on TCTF-ist tulenev põhimõte, </w:t>
            </w:r>
            <w:r w:rsidR="00A252EB" w:rsidRPr="00FD66D0">
              <w:rPr>
                <w:rFonts w:ascii="Times New Roman" w:eastAsia="Times New Roman" w:hAnsi="Times New Roman" w:cs="Times New Roman"/>
                <w:sz w:val="24"/>
                <w:szCs w:val="24"/>
              </w:rPr>
              <w:t>mi</w:t>
            </w:r>
            <w:r w:rsidR="00A252EB">
              <w:rPr>
                <w:rFonts w:ascii="Times New Roman" w:eastAsia="Times New Roman" w:hAnsi="Times New Roman" w:cs="Times New Roman"/>
                <w:sz w:val="24"/>
                <w:szCs w:val="24"/>
              </w:rPr>
              <w:t>lle</w:t>
            </w:r>
            <w:r w:rsidR="00A252EB" w:rsidRPr="00FD66D0">
              <w:rPr>
                <w:rFonts w:ascii="Times New Roman" w:eastAsia="Times New Roman" w:hAnsi="Times New Roman" w:cs="Times New Roman"/>
                <w:sz w:val="24"/>
                <w:szCs w:val="24"/>
              </w:rPr>
              <w:t xml:space="preserve"> </w:t>
            </w:r>
            <w:r w:rsidRPr="00FD66D0">
              <w:rPr>
                <w:rFonts w:ascii="Times New Roman" w:eastAsia="Times New Roman" w:hAnsi="Times New Roman" w:cs="Times New Roman"/>
                <w:sz w:val="24"/>
                <w:szCs w:val="24"/>
              </w:rPr>
              <w:t xml:space="preserve">liikmesriik võtab, kui teeb abiskeemi TCTF-i alusel. Lisaks, Komisjon ei anna luba </w:t>
            </w:r>
            <w:r w:rsidRPr="00FD66D0">
              <w:rPr>
                <w:rFonts w:ascii="Times New Roman" w:eastAsia="Times New Roman" w:hAnsi="Times New Roman" w:cs="Times New Roman"/>
                <w:sz w:val="24"/>
                <w:szCs w:val="24"/>
              </w:rPr>
              <w:lastRenderedPageBreak/>
              <w:t xml:space="preserve">abiskeemile, millel on eos </w:t>
            </w:r>
            <w:proofErr w:type="spellStart"/>
            <w:r w:rsidRPr="00C16497">
              <w:rPr>
                <w:rFonts w:ascii="Times New Roman" w:eastAsia="Times New Roman" w:hAnsi="Times New Roman" w:cs="Times New Roman"/>
                <w:i/>
                <w:iCs/>
                <w:sz w:val="24"/>
                <w:szCs w:val="24"/>
              </w:rPr>
              <w:t>ex</w:t>
            </w:r>
            <w:proofErr w:type="spellEnd"/>
            <w:r w:rsidRPr="00C16497">
              <w:rPr>
                <w:rFonts w:ascii="Times New Roman" w:eastAsia="Times New Roman" w:hAnsi="Times New Roman" w:cs="Times New Roman"/>
                <w:i/>
                <w:iCs/>
                <w:sz w:val="24"/>
                <w:szCs w:val="24"/>
              </w:rPr>
              <w:t xml:space="preserve"> </w:t>
            </w:r>
            <w:proofErr w:type="spellStart"/>
            <w:r w:rsidRPr="00C16497">
              <w:rPr>
                <w:rFonts w:ascii="Times New Roman" w:eastAsia="Times New Roman" w:hAnsi="Times New Roman" w:cs="Times New Roman"/>
                <w:i/>
                <w:iCs/>
                <w:sz w:val="24"/>
                <w:szCs w:val="24"/>
              </w:rPr>
              <w:t>ante</w:t>
            </w:r>
            <w:proofErr w:type="spellEnd"/>
            <w:r w:rsidRPr="00FD66D0">
              <w:rPr>
                <w:rFonts w:ascii="Times New Roman" w:eastAsia="Times New Roman" w:hAnsi="Times New Roman" w:cs="Times New Roman"/>
                <w:sz w:val="24"/>
                <w:szCs w:val="24"/>
              </w:rPr>
              <w:t xml:space="preserve"> probleem tõhusa konkurentsi toimimisega. Seega on tõhus konkurents </w:t>
            </w:r>
            <w:proofErr w:type="spellStart"/>
            <w:r w:rsidRPr="00C16497">
              <w:rPr>
                <w:rFonts w:ascii="Times New Roman" w:eastAsia="Times New Roman" w:hAnsi="Times New Roman" w:cs="Times New Roman"/>
                <w:i/>
                <w:iCs/>
                <w:sz w:val="24"/>
                <w:szCs w:val="24"/>
              </w:rPr>
              <w:t>ex</w:t>
            </w:r>
            <w:proofErr w:type="spellEnd"/>
            <w:r w:rsidRPr="00C16497">
              <w:rPr>
                <w:rFonts w:ascii="Times New Roman" w:eastAsia="Times New Roman" w:hAnsi="Times New Roman" w:cs="Times New Roman"/>
                <w:i/>
                <w:iCs/>
                <w:sz w:val="24"/>
                <w:szCs w:val="24"/>
              </w:rPr>
              <w:t xml:space="preserve"> </w:t>
            </w:r>
            <w:proofErr w:type="spellStart"/>
            <w:r w:rsidRPr="00C16497">
              <w:rPr>
                <w:rFonts w:ascii="Times New Roman" w:eastAsia="Times New Roman" w:hAnsi="Times New Roman" w:cs="Times New Roman"/>
                <w:i/>
                <w:iCs/>
                <w:sz w:val="24"/>
                <w:szCs w:val="24"/>
              </w:rPr>
              <w:t>ante</w:t>
            </w:r>
            <w:proofErr w:type="spellEnd"/>
            <w:r w:rsidRPr="00FD66D0">
              <w:rPr>
                <w:rFonts w:ascii="Times New Roman" w:eastAsia="Times New Roman" w:hAnsi="Times New Roman" w:cs="Times New Roman"/>
                <w:sz w:val="24"/>
                <w:szCs w:val="24"/>
              </w:rPr>
              <w:t xml:space="preserve"> tagatud juba siis, kui Komisjon on andnud riigiabi loa ja seal hinnanud meetme proportsionaalsust. </w:t>
            </w:r>
            <w:proofErr w:type="spellStart"/>
            <w:r w:rsidR="00A252EB">
              <w:rPr>
                <w:rFonts w:ascii="Times New Roman" w:eastAsia="Times New Roman" w:hAnsi="Times New Roman" w:cs="Times New Roman"/>
                <w:sz w:val="24"/>
                <w:szCs w:val="24"/>
              </w:rPr>
              <w:t>KliM</w:t>
            </w:r>
            <w:proofErr w:type="spellEnd"/>
            <w:r w:rsidR="00A252EB" w:rsidRPr="00FD66D0">
              <w:rPr>
                <w:rFonts w:ascii="Times New Roman" w:eastAsia="Times New Roman" w:hAnsi="Times New Roman" w:cs="Times New Roman"/>
                <w:sz w:val="24"/>
                <w:szCs w:val="24"/>
              </w:rPr>
              <w:t xml:space="preserve"> </w:t>
            </w:r>
            <w:r w:rsidRPr="00FD66D0">
              <w:rPr>
                <w:rFonts w:ascii="Times New Roman" w:eastAsia="Times New Roman" w:hAnsi="Times New Roman" w:cs="Times New Roman"/>
                <w:sz w:val="24"/>
                <w:szCs w:val="24"/>
              </w:rPr>
              <w:t xml:space="preserve">hinnangul saabub plaanitavale vähempakkumisele piisavalt pakkumisi, et tagada tõhus konkurents. Nimetatud norm tagab </w:t>
            </w:r>
            <w:proofErr w:type="spellStart"/>
            <w:r w:rsidRPr="00C16497">
              <w:rPr>
                <w:rFonts w:ascii="Times New Roman" w:eastAsia="Times New Roman" w:hAnsi="Times New Roman" w:cs="Times New Roman"/>
                <w:i/>
                <w:iCs/>
                <w:sz w:val="24"/>
                <w:szCs w:val="24"/>
              </w:rPr>
              <w:t>ex</w:t>
            </w:r>
            <w:proofErr w:type="spellEnd"/>
            <w:r w:rsidRPr="00C16497">
              <w:rPr>
                <w:rFonts w:ascii="Times New Roman" w:eastAsia="Times New Roman" w:hAnsi="Times New Roman" w:cs="Times New Roman"/>
                <w:i/>
                <w:iCs/>
                <w:sz w:val="24"/>
                <w:szCs w:val="24"/>
              </w:rPr>
              <w:t xml:space="preserve"> post</w:t>
            </w:r>
            <w:r w:rsidRPr="00FD66D0">
              <w:rPr>
                <w:rFonts w:ascii="Times New Roman" w:eastAsia="Times New Roman" w:hAnsi="Times New Roman" w:cs="Times New Roman"/>
                <w:sz w:val="24"/>
                <w:szCs w:val="24"/>
              </w:rPr>
              <w:t xml:space="preserve"> korrigeerimismehhanismi, mille realiseerumine on vähetõenäoline.</w:t>
            </w:r>
          </w:p>
          <w:p w14:paraId="2C85AB22" w14:textId="77777777" w:rsidR="00C16497" w:rsidRPr="00670DFF" w:rsidRDefault="00C16497" w:rsidP="00C16497">
            <w:pPr>
              <w:jc w:val="both"/>
              <w:rPr>
                <w:rFonts w:ascii="Times New Roman" w:hAnsi="Times New Roman" w:cs="Times New Roman"/>
                <w:sz w:val="24"/>
                <w:szCs w:val="24"/>
              </w:rPr>
            </w:pPr>
            <w:r w:rsidRPr="00FD66D0">
              <w:rPr>
                <w:rFonts w:ascii="Times New Roman" w:hAnsi="Times New Roman" w:cs="Times New Roman"/>
                <w:sz w:val="24"/>
                <w:szCs w:val="24"/>
              </w:rPr>
              <w:t>ELTS-</w:t>
            </w:r>
            <w:proofErr w:type="spellStart"/>
            <w:r w:rsidRPr="00FD66D0">
              <w:rPr>
                <w:rFonts w:ascii="Times New Roman" w:hAnsi="Times New Roman" w:cs="Times New Roman"/>
                <w:sz w:val="24"/>
                <w:szCs w:val="24"/>
              </w:rPr>
              <w:t>is</w:t>
            </w:r>
            <w:proofErr w:type="spellEnd"/>
            <w:r w:rsidRPr="00FD66D0">
              <w:rPr>
                <w:rFonts w:ascii="Times New Roman" w:hAnsi="Times New Roman" w:cs="Times New Roman"/>
                <w:sz w:val="24"/>
                <w:szCs w:val="24"/>
              </w:rPr>
              <w:t xml:space="preserve"> sätestatakse, et toetust makstakse „kahepoolse hinnavahelepingu põhimõttel“ (praegune sõnastus). Tegemist on sisu kirjeldava nimetusega, mitte lepinguga, kuna siduvad tahteavaldused</w:t>
            </w:r>
            <w:r w:rsidRPr="00670DFF">
              <w:rPr>
                <w:rFonts w:ascii="Times New Roman" w:hAnsi="Times New Roman" w:cs="Times New Roman"/>
                <w:sz w:val="24"/>
                <w:szCs w:val="24"/>
              </w:rPr>
              <w:t xml:space="preserve"> tehakse vähempakkumisele esitatava pakkumuse ja VV korralduse alusel ELTS-</w:t>
            </w:r>
            <w:proofErr w:type="spellStart"/>
            <w:r w:rsidRPr="00670DFF">
              <w:rPr>
                <w:rFonts w:ascii="Times New Roman" w:hAnsi="Times New Roman" w:cs="Times New Roman"/>
                <w:sz w:val="24"/>
                <w:szCs w:val="24"/>
              </w:rPr>
              <w:t>is</w:t>
            </w:r>
            <w:proofErr w:type="spellEnd"/>
            <w:r w:rsidRPr="00670DFF">
              <w:rPr>
                <w:rFonts w:ascii="Times New Roman" w:hAnsi="Times New Roman" w:cs="Times New Roman"/>
                <w:sz w:val="24"/>
                <w:szCs w:val="24"/>
              </w:rPr>
              <w:t xml:space="preserve"> toodud tingimustel. Euroopa Komisjoni jaoks on oluline, et kehtiksid riigiabi andmise otsuses kirjeldatud hinnavahedel toimivad toetuse maksmise tingimused, mis ELTS-</w:t>
            </w:r>
            <w:proofErr w:type="spellStart"/>
            <w:r w:rsidRPr="00670DFF">
              <w:rPr>
                <w:rFonts w:ascii="Times New Roman" w:hAnsi="Times New Roman" w:cs="Times New Roman"/>
                <w:sz w:val="24"/>
                <w:szCs w:val="24"/>
              </w:rPr>
              <w:t>is</w:t>
            </w:r>
            <w:proofErr w:type="spellEnd"/>
            <w:r w:rsidRPr="00670DFF">
              <w:rPr>
                <w:rFonts w:ascii="Times New Roman" w:hAnsi="Times New Roman" w:cs="Times New Roman"/>
                <w:sz w:val="24"/>
                <w:szCs w:val="24"/>
              </w:rPr>
              <w:t xml:space="preserve"> on kavas reguleerida toetuse arvestamise sätetes. Komisjoni jaoks ei ole määrav, kas siseriiklikult tulenevad vastavad </w:t>
            </w:r>
            <w:r w:rsidRPr="00670DFF">
              <w:rPr>
                <w:rFonts w:ascii="Times New Roman" w:hAnsi="Times New Roman" w:cs="Times New Roman"/>
                <w:sz w:val="24"/>
                <w:szCs w:val="24"/>
              </w:rPr>
              <w:lastRenderedPageBreak/>
              <w:t>tingimused lepingust või õigusaktidest.</w:t>
            </w:r>
          </w:p>
          <w:p w14:paraId="1F030009" w14:textId="77777777" w:rsidR="00C16497" w:rsidRPr="00670DFF" w:rsidRDefault="00C16497" w:rsidP="00C16497">
            <w:pPr>
              <w:pStyle w:val="Loendilik"/>
              <w:ind w:left="-23"/>
              <w:jc w:val="both"/>
              <w:rPr>
                <w:rFonts w:ascii="Times New Roman" w:eastAsia="Calibri" w:hAnsi="Times New Roman" w:cs="Times New Roman"/>
                <w:b/>
                <w:bCs/>
                <w:sz w:val="24"/>
                <w:szCs w:val="24"/>
              </w:rPr>
            </w:pPr>
          </w:p>
          <w:p w14:paraId="51251416" w14:textId="77777777" w:rsidR="00C16497" w:rsidRPr="00797EDC" w:rsidRDefault="00C16497" w:rsidP="00C16497">
            <w:pPr>
              <w:pStyle w:val="Loendilik"/>
              <w:ind w:left="-23"/>
              <w:jc w:val="both"/>
              <w:rPr>
                <w:rFonts w:ascii="Times New Roman" w:eastAsia="Calibri" w:hAnsi="Times New Roman" w:cs="Times New Roman"/>
                <w:b/>
                <w:bCs/>
                <w:sz w:val="24"/>
                <w:szCs w:val="24"/>
              </w:rPr>
            </w:pPr>
          </w:p>
          <w:p w14:paraId="16808063" w14:textId="77777777" w:rsidR="00C16497" w:rsidRPr="00797EDC" w:rsidRDefault="00C16497" w:rsidP="00C16497">
            <w:pPr>
              <w:pStyle w:val="Loendilik"/>
              <w:ind w:left="-23"/>
              <w:jc w:val="both"/>
              <w:rPr>
                <w:rFonts w:ascii="Times New Roman" w:eastAsia="Calibri" w:hAnsi="Times New Roman" w:cs="Times New Roman"/>
                <w:b/>
                <w:bCs/>
                <w:sz w:val="24"/>
                <w:szCs w:val="24"/>
              </w:rPr>
            </w:pPr>
          </w:p>
          <w:p w14:paraId="5ACA1B1F" w14:textId="77777777" w:rsidR="00C16497" w:rsidRPr="00797EDC" w:rsidRDefault="00C16497" w:rsidP="00C16497">
            <w:pPr>
              <w:pStyle w:val="Loendilik"/>
              <w:ind w:left="-23"/>
              <w:jc w:val="both"/>
              <w:rPr>
                <w:rFonts w:ascii="Times New Roman" w:eastAsia="Calibri" w:hAnsi="Times New Roman" w:cs="Times New Roman"/>
                <w:b/>
                <w:bCs/>
                <w:sz w:val="24"/>
                <w:szCs w:val="24"/>
              </w:rPr>
            </w:pPr>
          </w:p>
          <w:p w14:paraId="167F6734" w14:textId="77777777" w:rsidR="00C16497" w:rsidRPr="00797EDC" w:rsidRDefault="00C16497" w:rsidP="00C16497">
            <w:pPr>
              <w:pStyle w:val="Loendilik"/>
              <w:ind w:left="-23"/>
              <w:jc w:val="both"/>
              <w:rPr>
                <w:rFonts w:ascii="Times New Roman" w:eastAsia="Calibri" w:hAnsi="Times New Roman" w:cs="Times New Roman"/>
                <w:b/>
                <w:bCs/>
                <w:sz w:val="24"/>
                <w:szCs w:val="24"/>
              </w:rPr>
            </w:pPr>
          </w:p>
          <w:p w14:paraId="30A701CB" w14:textId="77777777" w:rsidR="00C16497" w:rsidRPr="00797EDC" w:rsidRDefault="00C16497" w:rsidP="00C16497">
            <w:pPr>
              <w:pStyle w:val="Loendilik"/>
              <w:ind w:left="-23"/>
              <w:jc w:val="both"/>
              <w:rPr>
                <w:rFonts w:ascii="Times New Roman" w:eastAsia="Calibri" w:hAnsi="Times New Roman" w:cs="Times New Roman"/>
                <w:b/>
                <w:bCs/>
                <w:sz w:val="24"/>
                <w:szCs w:val="24"/>
              </w:rPr>
            </w:pPr>
          </w:p>
          <w:p w14:paraId="11FCA2AA" w14:textId="77777777" w:rsidR="00C16497" w:rsidRPr="00797EDC" w:rsidRDefault="00C16497" w:rsidP="00C16497">
            <w:pPr>
              <w:pStyle w:val="Loendilik"/>
              <w:ind w:left="-23"/>
              <w:jc w:val="both"/>
              <w:rPr>
                <w:rFonts w:ascii="Times New Roman" w:eastAsia="Calibri" w:hAnsi="Times New Roman" w:cs="Times New Roman"/>
                <w:b/>
                <w:bCs/>
                <w:sz w:val="24"/>
                <w:szCs w:val="24"/>
              </w:rPr>
            </w:pPr>
          </w:p>
          <w:p w14:paraId="23F90609" w14:textId="77777777" w:rsidR="00C16497" w:rsidRPr="00797EDC" w:rsidRDefault="00C16497" w:rsidP="00C16497">
            <w:pPr>
              <w:pStyle w:val="Loendilik"/>
              <w:ind w:left="-23"/>
              <w:jc w:val="both"/>
              <w:rPr>
                <w:rFonts w:ascii="Times New Roman" w:eastAsia="Calibri" w:hAnsi="Times New Roman" w:cs="Times New Roman"/>
                <w:b/>
                <w:bCs/>
                <w:sz w:val="24"/>
                <w:szCs w:val="24"/>
              </w:rPr>
            </w:pPr>
          </w:p>
          <w:p w14:paraId="23695C8A" w14:textId="77777777" w:rsidR="00C16497" w:rsidRPr="00797EDC" w:rsidRDefault="00C16497" w:rsidP="00C16497">
            <w:pPr>
              <w:pStyle w:val="Loendilik"/>
              <w:ind w:left="-23"/>
              <w:jc w:val="both"/>
              <w:rPr>
                <w:rFonts w:ascii="Times New Roman" w:eastAsia="Calibri" w:hAnsi="Times New Roman" w:cs="Times New Roman"/>
                <w:b/>
                <w:bCs/>
                <w:sz w:val="24"/>
                <w:szCs w:val="24"/>
              </w:rPr>
            </w:pPr>
          </w:p>
          <w:p w14:paraId="1C0FE8BC" w14:textId="77777777" w:rsidR="00C16497" w:rsidRPr="00797EDC" w:rsidRDefault="00C16497" w:rsidP="00C16497">
            <w:pPr>
              <w:pStyle w:val="Loendilik"/>
              <w:ind w:left="-23"/>
              <w:jc w:val="both"/>
              <w:rPr>
                <w:rFonts w:ascii="Times New Roman" w:eastAsia="Calibri" w:hAnsi="Times New Roman" w:cs="Times New Roman"/>
                <w:b/>
                <w:bCs/>
                <w:sz w:val="24"/>
                <w:szCs w:val="24"/>
              </w:rPr>
            </w:pPr>
          </w:p>
          <w:p w14:paraId="29603C88" w14:textId="77777777" w:rsidR="00C16497" w:rsidRPr="00797EDC" w:rsidRDefault="00C16497" w:rsidP="00C16497">
            <w:pPr>
              <w:pStyle w:val="Loendilik"/>
              <w:ind w:left="-23"/>
              <w:jc w:val="both"/>
              <w:rPr>
                <w:rFonts w:ascii="Times New Roman" w:eastAsia="Calibri" w:hAnsi="Times New Roman" w:cs="Times New Roman"/>
                <w:b/>
                <w:bCs/>
                <w:sz w:val="24"/>
                <w:szCs w:val="24"/>
              </w:rPr>
            </w:pPr>
          </w:p>
          <w:p w14:paraId="6BFEE4C7" w14:textId="77777777" w:rsidR="00C16497" w:rsidRPr="00797EDC" w:rsidRDefault="00C16497" w:rsidP="00C16497">
            <w:pPr>
              <w:pStyle w:val="Loendilik"/>
              <w:ind w:left="-23"/>
              <w:jc w:val="both"/>
              <w:rPr>
                <w:rFonts w:ascii="Times New Roman" w:eastAsia="Calibri" w:hAnsi="Times New Roman" w:cs="Times New Roman"/>
                <w:b/>
                <w:bCs/>
                <w:sz w:val="24"/>
                <w:szCs w:val="24"/>
              </w:rPr>
            </w:pPr>
          </w:p>
          <w:p w14:paraId="2C9B890D" w14:textId="77777777" w:rsidR="00C16497" w:rsidRPr="00797EDC" w:rsidRDefault="00C16497" w:rsidP="00C16497">
            <w:pPr>
              <w:pStyle w:val="Loendilik"/>
              <w:ind w:left="-23"/>
              <w:jc w:val="both"/>
              <w:rPr>
                <w:rFonts w:ascii="Times New Roman" w:eastAsia="Calibri" w:hAnsi="Times New Roman" w:cs="Times New Roman"/>
                <w:b/>
                <w:bCs/>
                <w:sz w:val="24"/>
                <w:szCs w:val="24"/>
              </w:rPr>
            </w:pPr>
          </w:p>
          <w:p w14:paraId="65E57AC8" w14:textId="77777777" w:rsidR="00C16497" w:rsidRDefault="00C16497" w:rsidP="00C16497">
            <w:pPr>
              <w:jc w:val="both"/>
              <w:rPr>
                <w:rFonts w:ascii="Times New Roman" w:eastAsia="Calibri" w:hAnsi="Times New Roman" w:cs="Times New Roman"/>
                <w:b/>
                <w:bCs/>
                <w:sz w:val="24"/>
                <w:szCs w:val="24"/>
              </w:rPr>
            </w:pPr>
            <w:bookmarkStart w:id="7" w:name="_Hlk180144963"/>
          </w:p>
          <w:p w14:paraId="2FA43A4D" w14:textId="77777777" w:rsidR="00C16497" w:rsidRDefault="00C16497" w:rsidP="00C16497">
            <w:pPr>
              <w:jc w:val="both"/>
              <w:rPr>
                <w:rFonts w:ascii="Times New Roman" w:eastAsia="Calibri" w:hAnsi="Times New Roman" w:cs="Times New Roman"/>
                <w:b/>
                <w:bCs/>
                <w:sz w:val="24"/>
                <w:szCs w:val="24"/>
              </w:rPr>
            </w:pPr>
          </w:p>
          <w:p w14:paraId="4A5D682D" w14:textId="77777777" w:rsidR="00C16497" w:rsidRDefault="00C16497" w:rsidP="00C16497">
            <w:pPr>
              <w:jc w:val="both"/>
              <w:rPr>
                <w:rFonts w:ascii="Times New Roman" w:eastAsia="Calibri" w:hAnsi="Times New Roman" w:cs="Times New Roman"/>
                <w:b/>
                <w:bCs/>
                <w:sz w:val="24"/>
                <w:szCs w:val="24"/>
              </w:rPr>
            </w:pPr>
          </w:p>
          <w:p w14:paraId="7C7255C5" w14:textId="77777777" w:rsidR="00C16497" w:rsidRDefault="00C16497" w:rsidP="00C16497">
            <w:pPr>
              <w:jc w:val="both"/>
              <w:rPr>
                <w:rFonts w:ascii="Times New Roman" w:eastAsia="Calibri" w:hAnsi="Times New Roman" w:cs="Times New Roman"/>
                <w:b/>
                <w:bCs/>
                <w:sz w:val="24"/>
                <w:szCs w:val="24"/>
              </w:rPr>
            </w:pPr>
          </w:p>
          <w:p w14:paraId="3E3A1B8A" w14:textId="49515516" w:rsidR="00C16497" w:rsidRPr="00797EDC" w:rsidRDefault="00C16497" w:rsidP="00C16497">
            <w:pPr>
              <w:ind w:left="-23"/>
              <w:jc w:val="both"/>
              <w:rPr>
                <w:rFonts w:ascii="Times New Roman" w:eastAsia="Calibri" w:hAnsi="Times New Roman" w:cs="Times New Roman"/>
                <w:sz w:val="24"/>
                <w:szCs w:val="24"/>
              </w:rPr>
            </w:pPr>
            <w:r w:rsidRPr="00797EDC">
              <w:rPr>
                <w:rFonts w:ascii="Times New Roman" w:eastAsia="Calibri" w:hAnsi="Times New Roman" w:cs="Times New Roman"/>
                <w:sz w:val="24"/>
                <w:szCs w:val="24"/>
              </w:rPr>
              <w:t xml:space="preserve"> </w:t>
            </w:r>
            <w:bookmarkEnd w:id="7"/>
          </w:p>
        </w:tc>
      </w:tr>
      <w:tr w:rsidR="00C16497" w:rsidRPr="001C41A6" w14:paraId="6DE3E955" w14:textId="77777777" w:rsidTr="3199B330">
        <w:trPr>
          <w:trHeight w:val="300"/>
        </w:trPr>
        <w:tc>
          <w:tcPr>
            <w:tcW w:w="10710" w:type="dxa"/>
          </w:tcPr>
          <w:p w14:paraId="635F1013" w14:textId="400C6476" w:rsidR="00C16497" w:rsidRPr="001C41A6" w:rsidRDefault="00C16497" w:rsidP="00C16497">
            <w:pPr>
              <w:tabs>
                <w:tab w:val="left" w:pos="6714"/>
              </w:tabs>
              <w:jc w:val="both"/>
              <w:rPr>
                <w:rFonts w:ascii="Times New Roman" w:hAnsi="Times New Roman" w:cs="Times New Roman"/>
                <w:sz w:val="24"/>
                <w:szCs w:val="24"/>
              </w:rPr>
            </w:pPr>
            <w:r w:rsidRPr="001C41A6">
              <w:rPr>
                <w:rFonts w:ascii="Times New Roman" w:hAnsi="Times New Roman" w:cs="Times New Roman"/>
                <w:sz w:val="24"/>
                <w:szCs w:val="24"/>
              </w:rPr>
              <w:lastRenderedPageBreak/>
              <w:t>17. Eelnõu § 1 punkti 29 selgituses (§ 109</w:t>
            </w:r>
            <w:r>
              <w:rPr>
                <w:rFonts w:ascii="Times New Roman" w:hAnsi="Times New Roman" w:cs="Times New Roman"/>
                <w:sz w:val="24"/>
                <w:szCs w:val="24"/>
              </w:rPr>
              <w:t>(</w:t>
            </w:r>
            <w:r w:rsidRPr="001C41A6">
              <w:rPr>
                <w:rFonts w:ascii="Times New Roman" w:hAnsi="Times New Roman" w:cs="Times New Roman"/>
                <w:sz w:val="24"/>
                <w:szCs w:val="24"/>
              </w:rPr>
              <w:t>4</w:t>
            </w:r>
            <w:r>
              <w:rPr>
                <w:rFonts w:ascii="Times New Roman" w:hAnsi="Times New Roman" w:cs="Times New Roman"/>
                <w:sz w:val="24"/>
                <w:szCs w:val="24"/>
              </w:rPr>
              <w:t>)</w:t>
            </w:r>
            <w:r w:rsidRPr="001C41A6">
              <w:rPr>
                <w:rFonts w:ascii="Times New Roman" w:hAnsi="Times New Roman" w:cs="Times New Roman"/>
                <w:sz w:val="24"/>
                <w:szCs w:val="24"/>
              </w:rPr>
              <w:t xml:space="preserve"> ) on öeldud, et vajadus Vabariigi Valitsuse korralduse andmise lõpptähtajaks tuleneb riigiabi ajutisest raamistikust ja meretuuleparkide puhul on lõpptähtaeg (31.12.2025) ka õige. Maismaatuuleparkide vähempakkumiste alusel antakse aga toetust komisjoni määruse (EL) nr 651/2014 alusel. Selle määruse kehtivus lõpeb 31.12.2026, kuid üleminekuperiood kehtib veel 6 kuud. Seetõttu ei ole toodud Vabariigi Valitsuse korralduse tähtaeg (17.07.27) maismaatuuleparkide kohta sobiv</w:t>
            </w:r>
            <w:r w:rsidRPr="013F8064">
              <w:rPr>
                <w:rFonts w:ascii="Times New Roman" w:hAnsi="Times New Roman" w:cs="Times New Roman"/>
                <w:sz w:val="24"/>
                <w:szCs w:val="24"/>
              </w:rPr>
              <w:t>.</w:t>
            </w:r>
          </w:p>
        </w:tc>
        <w:tc>
          <w:tcPr>
            <w:tcW w:w="3282" w:type="dxa"/>
          </w:tcPr>
          <w:p w14:paraId="2805727A" w14:textId="01055FBF" w:rsidR="00C16497" w:rsidRPr="00797EDC" w:rsidRDefault="00C16497" w:rsidP="00C16497">
            <w:pPr>
              <w:pStyle w:val="Loendilik"/>
              <w:ind w:left="-23"/>
              <w:jc w:val="both"/>
            </w:pPr>
            <w:r w:rsidRPr="0A1ADC85">
              <w:rPr>
                <w:rFonts w:ascii="Times New Roman" w:eastAsia="Calibri" w:hAnsi="Times New Roman" w:cs="Times New Roman"/>
                <w:b/>
                <w:bCs/>
                <w:sz w:val="24"/>
                <w:szCs w:val="24"/>
              </w:rPr>
              <w:t>Selgitame</w:t>
            </w:r>
          </w:p>
          <w:p w14:paraId="50F8A522" w14:textId="16A5F752" w:rsidR="00C16497" w:rsidRPr="00D80EA3" w:rsidRDefault="00C16497" w:rsidP="00C16497">
            <w:pPr>
              <w:jc w:val="both"/>
              <w:rPr>
                <w:rFonts w:ascii="Times New Roman" w:eastAsia="Calibri" w:hAnsi="Times New Roman" w:cs="Times New Roman"/>
                <w:sz w:val="24"/>
                <w:szCs w:val="24"/>
              </w:rPr>
            </w:pPr>
            <w:r w:rsidRPr="00D80EA3">
              <w:rPr>
                <w:rFonts w:ascii="Times New Roman" w:eastAsia="Calibri" w:hAnsi="Times New Roman" w:cs="Times New Roman"/>
                <w:sz w:val="24"/>
                <w:szCs w:val="24"/>
              </w:rPr>
              <w:t>Euroopa Liidu elektrituru määruse (</w:t>
            </w:r>
            <w:proofErr w:type="spellStart"/>
            <w:r w:rsidR="00691BCE">
              <w:fldChar w:fldCharType="begin"/>
            </w:r>
            <w:r w:rsidR="00691BCE">
              <w:instrText>HYPERLINK "https://eur-lex.europa.eu/legal-content/EN/TXT/?uri=OJ:L_202401747" \h</w:instrText>
            </w:r>
            <w:r w:rsidR="00691BCE">
              <w:fldChar w:fldCharType="separate"/>
            </w:r>
            <w:r w:rsidRPr="00D80EA3">
              <w:rPr>
                <w:rStyle w:val="Hperlink"/>
                <w:rFonts w:ascii="Times New Roman" w:hAnsi="Times New Roman" w:cs="Times New Roman"/>
                <w:sz w:val="24"/>
                <w:szCs w:val="24"/>
              </w:rPr>
              <w:t>Regulation</w:t>
            </w:r>
            <w:proofErr w:type="spellEnd"/>
            <w:r w:rsidRPr="00D80EA3">
              <w:rPr>
                <w:rStyle w:val="Hperlink"/>
                <w:rFonts w:ascii="Times New Roman" w:hAnsi="Times New Roman" w:cs="Times New Roman"/>
                <w:sz w:val="24"/>
                <w:szCs w:val="24"/>
              </w:rPr>
              <w:t xml:space="preserve"> - EU - 2024/1747 - EN - EUR-Lex (europa.eu)</w:t>
            </w:r>
            <w:r w:rsidR="00691BCE">
              <w:rPr>
                <w:rStyle w:val="Hperlink"/>
                <w:rFonts w:ascii="Times New Roman" w:hAnsi="Times New Roman" w:cs="Times New Roman"/>
                <w:sz w:val="24"/>
                <w:szCs w:val="24"/>
              </w:rPr>
              <w:fldChar w:fldCharType="end"/>
            </w:r>
            <w:r w:rsidRPr="00D80EA3">
              <w:rPr>
                <w:rFonts w:ascii="Times New Roman" w:eastAsia="Calibri" w:hAnsi="Times New Roman" w:cs="Times New Roman"/>
                <w:sz w:val="24"/>
                <w:szCs w:val="24"/>
              </w:rPr>
              <w:t>) artikkel 19d lõike 1 teise lõigu kohaselt kehtivad maismaatuuleparkidele uued nõuded alates 17.07.2027: “</w:t>
            </w:r>
            <w:r w:rsidRPr="00D80EA3">
              <w:rPr>
                <w:rFonts w:ascii="Times New Roman" w:eastAsia="Calibri" w:hAnsi="Times New Roman" w:cs="Times New Roman"/>
                <w:i/>
                <w:iCs/>
                <w:sz w:val="24"/>
                <w:szCs w:val="24"/>
              </w:rPr>
              <w:t>...selliste lepingute suhtes, mis on sõlmitud uude tootmisse tehtavate investeeringute soodustamiseks mõeldud otseste hinnatoetuskavade alusel 17. juulil 2027 või hiljem...</w:t>
            </w:r>
            <w:r w:rsidRPr="00D80EA3">
              <w:rPr>
                <w:rFonts w:ascii="Times New Roman" w:eastAsia="Calibri" w:hAnsi="Times New Roman" w:cs="Times New Roman"/>
                <w:sz w:val="24"/>
                <w:szCs w:val="24"/>
              </w:rPr>
              <w:t>”.</w:t>
            </w:r>
          </w:p>
        </w:tc>
      </w:tr>
      <w:tr w:rsidR="00C16497" w:rsidRPr="001C41A6" w14:paraId="3DFD7B92" w14:textId="77777777" w:rsidTr="3199B330">
        <w:trPr>
          <w:trHeight w:val="300"/>
        </w:trPr>
        <w:tc>
          <w:tcPr>
            <w:tcW w:w="10710" w:type="dxa"/>
          </w:tcPr>
          <w:p w14:paraId="7532FAFE" w14:textId="26036D61" w:rsidR="00C16497" w:rsidRPr="001C41A6" w:rsidRDefault="00C16497" w:rsidP="00C16497">
            <w:pPr>
              <w:tabs>
                <w:tab w:val="left" w:pos="6714"/>
              </w:tabs>
              <w:jc w:val="both"/>
              <w:rPr>
                <w:rFonts w:ascii="Times New Roman" w:hAnsi="Times New Roman" w:cs="Times New Roman"/>
                <w:sz w:val="24"/>
                <w:szCs w:val="24"/>
              </w:rPr>
            </w:pPr>
            <w:r w:rsidRPr="001C41A6">
              <w:rPr>
                <w:rFonts w:ascii="Times New Roman" w:hAnsi="Times New Roman" w:cs="Times New Roman"/>
                <w:sz w:val="24"/>
                <w:szCs w:val="24"/>
              </w:rPr>
              <w:t xml:space="preserve">18. Seletuskirja „Seaduse mõjud“ peatükis vajab täpsustamist tabel 1, mis on esitatud kujul raskesti mõistetav. Meie hinnangul oleks otstarbekas viia tabeli 1 loogika vastavusse turuhinna ja toetuse vahelise kujunemise </w:t>
            </w:r>
            <w:r w:rsidRPr="001C41A6">
              <w:rPr>
                <w:rFonts w:ascii="Times New Roman" w:hAnsi="Times New Roman" w:cs="Times New Roman"/>
                <w:sz w:val="24"/>
                <w:szCs w:val="24"/>
              </w:rPr>
              <w:lastRenderedPageBreak/>
              <w:t>loogika selgitustega seletuskirja leheküljel 14, st täpsustada veergudes esitatud numbrite kujunemine ning sisuline erinevus seletuskirja selgitustest leheküljel 14.</w:t>
            </w:r>
          </w:p>
        </w:tc>
        <w:tc>
          <w:tcPr>
            <w:tcW w:w="3282" w:type="dxa"/>
          </w:tcPr>
          <w:p w14:paraId="5A90D5FD" w14:textId="48E45E48" w:rsidR="00C16497" w:rsidRDefault="00F11C9B" w:rsidP="00C16497">
            <w:pPr>
              <w:pStyle w:val="Loendilik"/>
              <w:ind w:left="-2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Selgitame</w:t>
            </w:r>
          </w:p>
          <w:p w14:paraId="4F9E0CE3" w14:textId="77777777" w:rsidR="00F11C9B" w:rsidRPr="00797EDC" w:rsidRDefault="00F11C9B" w:rsidP="00C16497">
            <w:pPr>
              <w:pStyle w:val="Loendilik"/>
              <w:ind w:left="-23"/>
              <w:jc w:val="both"/>
              <w:rPr>
                <w:rFonts w:ascii="Times New Roman" w:eastAsia="Calibri" w:hAnsi="Times New Roman" w:cs="Times New Roman"/>
                <w:b/>
                <w:bCs/>
                <w:sz w:val="24"/>
                <w:szCs w:val="24"/>
              </w:rPr>
            </w:pPr>
          </w:p>
          <w:p w14:paraId="3FD3DE21" w14:textId="79BA91D3" w:rsidR="00C16497" w:rsidRPr="00797EDC" w:rsidRDefault="00C16497" w:rsidP="00C16497">
            <w:pPr>
              <w:pStyle w:val="Loendilik"/>
              <w:ind w:left="-23"/>
              <w:jc w:val="both"/>
              <w:rPr>
                <w:rFonts w:ascii="Times New Roman" w:eastAsia="Calibri" w:hAnsi="Times New Roman" w:cs="Times New Roman"/>
                <w:sz w:val="24"/>
                <w:szCs w:val="24"/>
              </w:rPr>
            </w:pPr>
            <w:r w:rsidRPr="3199B330">
              <w:rPr>
                <w:rFonts w:ascii="Times New Roman" w:eastAsia="Calibri" w:hAnsi="Times New Roman" w:cs="Times New Roman"/>
                <w:sz w:val="24"/>
                <w:szCs w:val="24"/>
              </w:rPr>
              <w:lastRenderedPageBreak/>
              <w:t xml:space="preserve">Aluseks on võetud hinnakõver, mitte konstantne hind. Lk 14 seletuskirjas on näide toodud ühe kauplemisperioodi, milleks </w:t>
            </w:r>
            <w:r>
              <w:rPr>
                <w:rFonts w:ascii="Times New Roman" w:eastAsia="Calibri" w:hAnsi="Times New Roman" w:cs="Times New Roman"/>
                <w:sz w:val="24"/>
                <w:szCs w:val="24"/>
              </w:rPr>
              <w:t xml:space="preserve">näides </w:t>
            </w:r>
            <w:r w:rsidRPr="3199B330">
              <w:rPr>
                <w:rFonts w:ascii="Times New Roman" w:eastAsia="Calibri" w:hAnsi="Times New Roman" w:cs="Times New Roman"/>
                <w:sz w:val="24"/>
                <w:szCs w:val="24"/>
              </w:rPr>
              <w:t>on 1 tund, kohta, aga tabelis nr 1, millele on kommentaaris viidatud, võtab kogu kauplemisperioodi aasta jooksul kokku. Sellest tulenevalt on ka leheküljel 14 ja tabelis 1 esitatud andmed erinevad. Tabel 1 on koostatud, et oleks aru saada, kui palju ja kuidas liiguvad vahendid aasta jooksul</w:t>
            </w:r>
            <w:r>
              <w:rPr>
                <w:rFonts w:ascii="Times New Roman" w:eastAsia="Calibri" w:hAnsi="Times New Roman" w:cs="Times New Roman"/>
                <w:sz w:val="24"/>
                <w:szCs w:val="24"/>
              </w:rPr>
              <w:t xml:space="preserve"> ja milline erinevus on erinevatel pakkumushindadel</w:t>
            </w:r>
            <w:r w:rsidRPr="3199B330">
              <w:rPr>
                <w:rFonts w:ascii="Times New Roman" w:eastAsia="Calibri" w:hAnsi="Times New Roman" w:cs="Times New Roman"/>
                <w:sz w:val="24"/>
                <w:szCs w:val="24"/>
              </w:rPr>
              <w:t>.</w:t>
            </w:r>
            <w:r>
              <w:rPr>
                <w:rFonts w:ascii="Times New Roman" w:eastAsia="Calibri" w:hAnsi="Times New Roman" w:cs="Times New Roman"/>
                <w:sz w:val="24"/>
                <w:szCs w:val="24"/>
              </w:rPr>
              <w:t xml:space="preserve"> Näide lk 14 on koostatud, et piltlikustada disaini.</w:t>
            </w:r>
            <w:r w:rsidRPr="3199B330">
              <w:rPr>
                <w:rFonts w:ascii="Times New Roman" w:eastAsia="Calibri" w:hAnsi="Times New Roman" w:cs="Times New Roman"/>
                <w:sz w:val="24"/>
                <w:szCs w:val="24"/>
              </w:rPr>
              <w:t xml:space="preserve"> </w:t>
            </w:r>
          </w:p>
        </w:tc>
      </w:tr>
      <w:tr w:rsidR="00C16497" w:rsidRPr="001C41A6" w14:paraId="101729B2" w14:textId="77777777" w:rsidTr="3199B330">
        <w:trPr>
          <w:trHeight w:val="300"/>
        </w:trPr>
        <w:tc>
          <w:tcPr>
            <w:tcW w:w="10710" w:type="dxa"/>
          </w:tcPr>
          <w:p w14:paraId="569C002E" w14:textId="2975A70B" w:rsidR="00C16497" w:rsidRPr="001C41A6" w:rsidRDefault="00C16497" w:rsidP="00C16497">
            <w:pPr>
              <w:tabs>
                <w:tab w:val="left" w:pos="6714"/>
              </w:tabs>
              <w:jc w:val="both"/>
              <w:rPr>
                <w:rFonts w:ascii="Times New Roman" w:hAnsi="Times New Roman" w:cs="Times New Roman"/>
                <w:sz w:val="24"/>
                <w:szCs w:val="24"/>
              </w:rPr>
            </w:pPr>
            <w:r w:rsidRPr="001C41A6">
              <w:rPr>
                <w:rFonts w:ascii="Times New Roman" w:hAnsi="Times New Roman" w:cs="Times New Roman"/>
                <w:sz w:val="24"/>
                <w:szCs w:val="24"/>
              </w:rPr>
              <w:lastRenderedPageBreak/>
              <w:t>19. Peatüki „Seaduse mõjud“ alapeatükis „Majanduslikud mõjud“ on välja toodud, et kapitalikulutused ühe megavati kohta on kuni 4 miljonit eurot meretuuleparkidel ja kuni 1,8 miljonit eurot maismaatuuleparkide kohta. Samas on 100 MW meretuulepargi koguinvesteeringuna välja toodud 540 miljonit eurot. Palume kontrollida esitatud informatsiooni korrektsust, sest ühe megavati põhise arvestusega oleks kapitalikulutused meretuuleparkidel 2 korda suuremad kui maismaatuuleparkidel, kuid toetus sama ühiku kohta oleks 3 korda kõrgem. Lisaks sellele on meretuuleparkidele ette nähtud ka kaheksa aasta võrra pikem toetusperiood võrreldes maismaatuuleparkidega. Palume lisada seletuskirja põhjendused vastavate piirmäärade kujunemise ja meretuuleparkidesse investeeritava kapitalimahu proportsionaalselt märkimisväärselt suurema toetamise määra ja aja kohta.</w:t>
            </w:r>
          </w:p>
        </w:tc>
        <w:tc>
          <w:tcPr>
            <w:tcW w:w="3282" w:type="dxa"/>
          </w:tcPr>
          <w:p w14:paraId="532CD699" w14:textId="77777777" w:rsidR="00C16497" w:rsidRPr="00797EDC" w:rsidRDefault="00C16497" w:rsidP="00C16497">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Arvestatud</w:t>
            </w:r>
          </w:p>
          <w:p w14:paraId="39BFD9E6" w14:textId="764BDD03" w:rsidR="00C16497" w:rsidRPr="00797EDC" w:rsidRDefault="00C16497" w:rsidP="00C16497">
            <w:pPr>
              <w:pStyle w:val="Loendilik"/>
              <w:ind w:left="-23"/>
              <w:jc w:val="both"/>
              <w:rPr>
                <w:rFonts w:ascii="Times New Roman" w:eastAsia="Calibri" w:hAnsi="Times New Roman" w:cs="Times New Roman"/>
                <w:b/>
                <w:bCs/>
                <w:sz w:val="24"/>
                <w:szCs w:val="24"/>
              </w:rPr>
            </w:pPr>
            <w:r w:rsidRPr="013F8064">
              <w:rPr>
                <w:rFonts w:ascii="Times New Roman" w:eastAsia="Calibri" w:hAnsi="Times New Roman" w:cs="Times New Roman"/>
                <w:sz w:val="24"/>
                <w:szCs w:val="24"/>
              </w:rPr>
              <w:t>Seletuskiri täiendatud</w:t>
            </w:r>
          </w:p>
        </w:tc>
      </w:tr>
      <w:tr w:rsidR="00C16497" w:rsidRPr="001C41A6" w14:paraId="16E13763" w14:textId="77777777" w:rsidTr="3199B330">
        <w:trPr>
          <w:trHeight w:val="300"/>
        </w:trPr>
        <w:tc>
          <w:tcPr>
            <w:tcW w:w="10710" w:type="dxa"/>
          </w:tcPr>
          <w:p w14:paraId="72362C64" w14:textId="32534408" w:rsidR="00C16497" w:rsidRPr="001C41A6" w:rsidRDefault="00C16497" w:rsidP="00C16497">
            <w:pPr>
              <w:tabs>
                <w:tab w:val="left" w:pos="6714"/>
              </w:tabs>
              <w:jc w:val="both"/>
              <w:rPr>
                <w:rFonts w:ascii="Times New Roman" w:hAnsi="Times New Roman" w:cs="Times New Roman"/>
                <w:sz w:val="24"/>
                <w:szCs w:val="24"/>
              </w:rPr>
            </w:pPr>
            <w:r w:rsidRPr="001C41A6">
              <w:rPr>
                <w:rFonts w:ascii="Times New Roman" w:hAnsi="Times New Roman" w:cs="Times New Roman"/>
                <w:sz w:val="24"/>
                <w:szCs w:val="24"/>
              </w:rPr>
              <w:t>20. Eelnõu seletuskirjas on toodud, et oluline on arvestada halduskulude suurenemisega, mis kaasneb vähempakkumiste ja toetuste haldamisega, ning lisaraha ja -tööjõu vajadusega. Samas on välja toomata, mis mahus ja kellel halduskulud suurenevad ning kuidas on planeeritud neid kulusid katta. Palume seletuskirja täiendada. Ühtlasi palume eemaldada seletuskirja 7. osas punkti 1 all olev osa, mis on eelnõu sisu arvestades arusaamatu. Ei ole mõeldav, et meretuuleparkide toetusskeem puudutaks kolme ministeeriumi 500–1000 töötajat ja muu avaliku sektori ja valitsusasutuste 5000–10000 töötajat.</w:t>
            </w:r>
          </w:p>
        </w:tc>
        <w:tc>
          <w:tcPr>
            <w:tcW w:w="3282" w:type="dxa"/>
          </w:tcPr>
          <w:p w14:paraId="662CA5BA" w14:textId="77777777" w:rsidR="00C16497" w:rsidRPr="00797EDC" w:rsidRDefault="00C16497" w:rsidP="00C16497">
            <w:pPr>
              <w:pStyle w:val="Loendilik"/>
              <w:ind w:left="-23"/>
              <w:jc w:val="both"/>
              <w:rPr>
                <w:rFonts w:ascii="Times New Roman" w:eastAsia="Calibri" w:hAnsi="Times New Roman" w:cs="Times New Roman"/>
                <w:b/>
                <w:bCs/>
                <w:sz w:val="24"/>
                <w:szCs w:val="24"/>
              </w:rPr>
            </w:pPr>
            <w:r w:rsidRPr="00797EDC">
              <w:rPr>
                <w:rFonts w:ascii="Times New Roman" w:eastAsia="Calibri" w:hAnsi="Times New Roman" w:cs="Times New Roman"/>
                <w:b/>
                <w:bCs/>
                <w:sz w:val="24"/>
                <w:szCs w:val="24"/>
              </w:rPr>
              <w:t>Arvestatud</w:t>
            </w:r>
          </w:p>
          <w:p w14:paraId="2351DEE8" w14:textId="01E17381" w:rsidR="00C16497" w:rsidRPr="00797EDC" w:rsidRDefault="00C16497" w:rsidP="00C16497">
            <w:pPr>
              <w:pStyle w:val="Loendilik"/>
              <w:ind w:left="-23"/>
              <w:jc w:val="both"/>
              <w:rPr>
                <w:rFonts w:ascii="Times New Roman" w:eastAsia="Calibri" w:hAnsi="Times New Roman" w:cs="Times New Roman"/>
                <w:b/>
                <w:bCs/>
                <w:sz w:val="24"/>
                <w:szCs w:val="24"/>
              </w:rPr>
            </w:pPr>
            <w:r w:rsidRPr="013F8064">
              <w:rPr>
                <w:rFonts w:ascii="Times New Roman" w:eastAsia="Calibri" w:hAnsi="Times New Roman" w:cs="Times New Roman"/>
                <w:sz w:val="24"/>
                <w:szCs w:val="24"/>
              </w:rPr>
              <w:t>Seletuskiri täiendatud</w:t>
            </w:r>
          </w:p>
        </w:tc>
      </w:tr>
      <w:tr w:rsidR="00C16497" w14:paraId="3376B683" w14:textId="77777777" w:rsidTr="3199B330">
        <w:trPr>
          <w:trHeight w:val="300"/>
        </w:trPr>
        <w:tc>
          <w:tcPr>
            <w:tcW w:w="10710" w:type="dxa"/>
          </w:tcPr>
          <w:p w14:paraId="15071390" w14:textId="77CAB037" w:rsidR="00C16497" w:rsidRDefault="00C16497" w:rsidP="00C16497">
            <w:pPr>
              <w:jc w:val="both"/>
              <w:rPr>
                <w:rFonts w:ascii="Times New Roman" w:hAnsi="Times New Roman" w:cs="Times New Roman"/>
                <w:sz w:val="24"/>
                <w:szCs w:val="24"/>
              </w:rPr>
            </w:pPr>
            <w:r w:rsidRPr="2C548A02">
              <w:rPr>
                <w:rFonts w:ascii="Times New Roman" w:hAnsi="Times New Roman" w:cs="Times New Roman"/>
                <w:b/>
                <w:bCs/>
                <w:sz w:val="24"/>
                <w:szCs w:val="24"/>
              </w:rPr>
              <w:t>Justiitsministeerium</w:t>
            </w:r>
          </w:p>
        </w:tc>
        <w:tc>
          <w:tcPr>
            <w:tcW w:w="3282" w:type="dxa"/>
          </w:tcPr>
          <w:p w14:paraId="3938A9E2" w14:textId="62640977" w:rsidR="00C16497" w:rsidRDefault="00C16497" w:rsidP="00C16497">
            <w:pPr>
              <w:pStyle w:val="Loendilik"/>
              <w:jc w:val="both"/>
              <w:rPr>
                <w:rFonts w:ascii="Times New Roman" w:eastAsia="Calibri" w:hAnsi="Times New Roman" w:cs="Times New Roman"/>
                <w:b/>
                <w:bCs/>
                <w:sz w:val="24"/>
                <w:szCs w:val="24"/>
              </w:rPr>
            </w:pPr>
          </w:p>
        </w:tc>
      </w:tr>
      <w:tr w:rsidR="00C16497" w14:paraId="5AD5E483" w14:textId="77777777" w:rsidTr="3199B330">
        <w:trPr>
          <w:trHeight w:val="300"/>
        </w:trPr>
        <w:tc>
          <w:tcPr>
            <w:tcW w:w="10710" w:type="dxa"/>
          </w:tcPr>
          <w:p w14:paraId="1518FAE0" w14:textId="73357B40" w:rsidR="00C16497" w:rsidRDefault="00C16497" w:rsidP="00C16497">
            <w:pPr>
              <w:pStyle w:val="Loendilik"/>
              <w:numPr>
                <w:ilvl w:val="0"/>
                <w:numId w:val="27"/>
              </w:numPr>
              <w:jc w:val="both"/>
            </w:pPr>
            <w:r w:rsidRPr="4E446B8B">
              <w:rPr>
                <w:rFonts w:ascii="Times New Roman" w:eastAsia="Times New Roman" w:hAnsi="Times New Roman" w:cs="Times New Roman"/>
                <w:sz w:val="24"/>
                <w:szCs w:val="24"/>
              </w:rPr>
              <w:t xml:space="preserve">Eelnõu kohase elektrituruseaduse (ELTS) § 59 lg 12 sätestab alused, mille korral on Vabariigi Valitsusel õigus tunnistada vähempakkumise võitjat määratlev korraldus kehtetuks. Viidatud lõike p 5 </w:t>
            </w:r>
            <w:r w:rsidRPr="4E446B8B">
              <w:rPr>
                <w:rFonts w:ascii="Times New Roman" w:eastAsia="Times New Roman" w:hAnsi="Times New Roman" w:cs="Times New Roman"/>
                <w:sz w:val="24"/>
                <w:szCs w:val="24"/>
              </w:rPr>
              <w:lastRenderedPageBreak/>
              <w:t>kohaselt saab korraldust kehtetuks tunnistada muu hulgas määruses sätestatud muu kehtetuks tunnistamise aluse esinemise korral. Märgime, et PS § 3 sätestatud seaduslikkuse põhimõttest tulenevalt peab kõik põhiõiguste piiramise seisukohalt olulised tingimused kehtestama seadusandja. Seetõttu kerkib küsimus, kas toetuse andmise korralduse kehtetuks tunnistamise aluse sätestamine määrusega on põhiseaduspärane. Palume analüüsida ELTS § 59(4) lg 10 alusel kehtestatud Vabariigi Valitsuse 07.11.2019 määruse nr 86 § 28 lg 2 kooskõla PS § 3 tuleneva seaduslikkuse põhimõttega. Palume hinnata, kas määruses sätestatud korralduse kehtetuks tunnistamise alus tuleks esitada seaduse tasandil, ning eelnõu vastavate muudatustega täiendada.</w:t>
            </w:r>
          </w:p>
        </w:tc>
        <w:tc>
          <w:tcPr>
            <w:tcW w:w="3282" w:type="dxa"/>
          </w:tcPr>
          <w:p w14:paraId="23787BCD" w14:textId="581C3A0C" w:rsidR="00C16497" w:rsidRDefault="00C16497" w:rsidP="00C16497">
            <w:pPr>
              <w:jc w:val="both"/>
              <w:rPr>
                <w:rFonts w:ascii="Times New Roman" w:eastAsia="Calibri" w:hAnsi="Times New Roman" w:cs="Times New Roman"/>
                <w:sz w:val="24"/>
                <w:szCs w:val="24"/>
              </w:rPr>
            </w:pPr>
            <w:r w:rsidRPr="4E446B8B">
              <w:rPr>
                <w:rFonts w:ascii="Times New Roman" w:eastAsia="Calibri" w:hAnsi="Times New Roman" w:cs="Times New Roman"/>
                <w:b/>
                <w:bCs/>
                <w:sz w:val="24"/>
                <w:szCs w:val="24"/>
              </w:rPr>
              <w:lastRenderedPageBreak/>
              <w:t>Arvestatud</w:t>
            </w:r>
          </w:p>
          <w:p w14:paraId="25CE9984" w14:textId="57509FE2" w:rsidR="00C16497" w:rsidRDefault="00C16497" w:rsidP="00C16497">
            <w:pPr>
              <w:jc w:val="both"/>
              <w:rPr>
                <w:rFonts w:ascii="Times New Roman" w:eastAsia="Times New Roman" w:hAnsi="Times New Roman" w:cs="Times New Roman"/>
                <w:sz w:val="24"/>
                <w:szCs w:val="24"/>
              </w:rPr>
            </w:pPr>
            <w:r w:rsidRPr="013F8064">
              <w:rPr>
                <w:rFonts w:ascii="Times New Roman" w:eastAsia="Calibri" w:hAnsi="Times New Roman" w:cs="Times New Roman"/>
                <w:sz w:val="24"/>
                <w:szCs w:val="24"/>
              </w:rPr>
              <w:lastRenderedPageBreak/>
              <w:t xml:space="preserve">Oleme analüüsinud VV </w:t>
            </w:r>
            <w:r w:rsidRPr="013F8064">
              <w:rPr>
                <w:rFonts w:ascii="Times New Roman" w:eastAsia="Times New Roman" w:hAnsi="Times New Roman" w:cs="Times New Roman"/>
                <w:sz w:val="24"/>
                <w:szCs w:val="24"/>
              </w:rPr>
              <w:t xml:space="preserve">07.11.2019 määruse nr 86 § 28 lg 2 kooskõla PS § 3 tuleneva seaduslikkuse põhimõttega. Tuginedes Justiitsministeeriumi arvamusele ja suulisele analüüsile </w:t>
            </w:r>
            <w:proofErr w:type="spellStart"/>
            <w:r w:rsidRPr="013F8064">
              <w:rPr>
                <w:rFonts w:ascii="Times New Roman" w:eastAsia="Times New Roman" w:hAnsi="Times New Roman" w:cs="Times New Roman"/>
                <w:sz w:val="24"/>
                <w:szCs w:val="24"/>
              </w:rPr>
              <w:t>KliM</w:t>
            </w:r>
            <w:proofErr w:type="spellEnd"/>
            <w:r w:rsidRPr="013F8064">
              <w:rPr>
                <w:rFonts w:ascii="Times New Roman" w:eastAsia="Times New Roman" w:hAnsi="Times New Roman" w:cs="Times New Roman"/>
                <w:sz w:val="24"/>
                <w:szCs w:val="24"/>
              </w:rPr>
              <w:t>, JUM ja Eleringi vahel, leiame, et määruse § 28 lõige 2 tuleb tunnistada kehtetuks ja lähtuda ELTS §-des 59(4) ja 59(8) sätestatust. VV määruse nr 86 muudatuse eelnõu on väljatöötamisel</w:t>
            </w:r>
            <w:r w:rsidR="006602A4">
              <w:rPr>
                <w:rFonts w:ascii="Times New Roman" w:eastAsia="Times New Roman" w:hAnsi="Times New Roman" w:cs="Times New Roman"/>
                <w:sz w:val="24"/>
                <w:szCs w:val="24"/>
              </w:rPr>
              <w:t>, kavand lisatud eelnõu kooskõlastamise dokumentidesse</w:t>
            </w:r>
          </w:p>
          <w:p w14:paraId="012970B5" w14:textId="7D798349" w:rsidR="00C16497" w:rsidRDefault="00C16497" w:rsidP="00C16497">
            <w:pPr>
              <w:jc w:val="both"/>
              <w:rPr>
                <w:rFonts w:ascii="Times New Roman" w:eastAsia="Calibri" w:hAnsi="Times New Roman" w:cs="Times New Roman"/>
                <w:b/>
                <w:bCs/>
                <w:sz w:val="24"/>
                <w:szCs w:val="24"/>
              </w:rPr>
            </w:pPr>
          </w:p>
        </w:tc>
      </w:tr>
      <w:tr w:rsidR="00C16497" w14:paraId="07B18ECD" w14:textId="77777777" w:rsidTr="3199B330">
        <w:trPr>
          <w:trHeight w:val="300"/>
        </w:trPr>
        <w:tc>
          <w:tcPr>
            <w:tcW w:w="10710" w:type="dxa"/>
          </w:tcPr>
          <w:p w14:paraId="57EB22AB" w14:textId="438F3325" w:rsidR="00C16497" w:rsidRDefault="00C16497" w:rsidP="00C16497">
            <w:pPr>
              <w:pStyle w:val="Loendilik"/>
              <w:numPr>
                <w:ilvl w:val="0"/>
                <w:numId w:val="27"/>
              </w:numPr>
              <w:jc w:val="both"/>
              <w:rPr>
                <w:rFonts w:ascii="Times New Roman" w:eastAsia="Times New Roman" w:hAnsi="Times New Roman" w:cs="Times New Roman"/>
                <w:sz w:val="24"/>
                <w:szCs w:val="24"/>
              </w:rPr>
            </w:pPr>
            <w:r w:rsidRPr="4E446B8B">
              <w:rPr>
                <w:rFonts w:ascii="Times New Roman" w:eastAsia="Times New Roman" w:hAnsi="Times New Roman" w:cs="Times New Roman"/>
                <w:sz w:val="24"/>
                <w:szCs w:val="24"/>
              </w:rPr>
              <w:lastRenderedPageBreak/>
              <w:t>2</w:t>
            </w:r>
            <w:r w:rsidRPr="4E446B8B">
              <w:rPr>
                <w:rFonts w:ascii="Times New Roman" w:eastAsia="Times New Roman" w:hAnsi="Times New Roman" w:cs="Times New Roman"/>
                <w:sz w:val="24"/>
                <w:szCs w:val="24"/>
                <w:vertAlign w:val="superscript"/>
              </w:rPr>
              <w:t>3</w:t>
            </w:r>
            <w:r w:rsidRPr="4E446B8B">
              <w:rPr>
                <w:rFonts w:ascii="Times New Roman" w:eastAsia="Times New Roman" w:hAnsi="Times New Roman" w:cs="Times New Roman"/>
                <w:sz w:val="24"/>
                <w:szCs w:val="24"/>
              </w:rPr>
              <w:t>) Elektrienergia kogus, mille eest makstakse §-s 59</w:t>
            </w:r>
            <w:r w:rsidRPr="4E446B8B">
              <w:rPr>
                <w:rFonts w:ascii="Times New Roman" w:eastAsia="Times New Roman" w:hAnsi="Times New Roman" w:cs="Times New Roman"/>
                <w:sz w:val="24"/>
                <w:szCs w:val="24"/>
                <w:vertAlign w:val="superscript"/>
              </w:rPr>
              <w:t>4</w:t>
            </w:r>
            <w:r w:rsidRPr="4E446B8B">
              <w:rPr>
                <w:rFonts w:ascii="Times New Roman" w:eastAsia="Times New Roman" w:hAnsi="Times New Roman" w:cs="Times New Roman"/>
                <w:sz w:val="24"/>
                <w:szCs w:val="24"/>
              </w:rPr>
              <w:t xml:space="preserve"> nimetatud toetust, määratakse kindlaks </w:t>
            </w:r>
            <w:proofErr w:type="spellStart"/>
            <w:r w:rsidRPr="4E446B8B">
              <w:rPr>
                <w:rFonts w:ascii="Times New Roman" w:eastAsia="Times New Roman" w:hAnsi="Times New Roman" w:cs="Times New Roman"/>
                <w:sz w:val="24"/>
                <w:szCs w:val="24"/>
              </w:rPr>
              <w:t>kauglugemisseadmega</w:t>
            </w:r>
            <w:proofErr w:type="spellEnd"/>
            <w:r w:rsidRPr="4E446B8B">
              <w:rPr>
                <w:rFonts w:ascii="Times New Roman" w:eastAsia="Times New Roman" w:hAnsi="Times New Roman" w:cs="Times New Roman"/>
                <w:sz w:val="24"/>
                <w:szCs w:val="24"/>
              </w:rPr>
              <w:t xml:space="preserve"> ning selleks loetakse tootja tootmisseadme kõikides liitumispunktides kokku kauplemisperioodi jooksul tegevusloa alusel tegutseva võrguettevõtja võrku antud </w:t>
            </w:r>
            <w:proofErr w:type="spellStart"/>
            <w:r w:rsidRPr="4E446B8B">
              <w:rPr>
                <w:rFonts w:ascii="Times New Roman" w:eastAsia="Times New Roman" w:hAnsi="Times New Roman" w:cs="Times New Roman"/>
                <w:sz w:val="24"/>
                <w:szCs w:val="24"/>
              </w:rPr>
              <w:t>saldeeritud</w:t>
            </w:r>
            <w:proofErr w:type="spellEnd"/>
            <w:r w:rsidRPr="4E446B8B">
              <w:rPr>
                <w:rFonts w:ascii="Times New Roman" w:eastAsia="Times New Roman" w:hAnsi="Times New Roman" w:cs="Times New Roman"/>
                <w:sz w:val="24"/>
                <w:szCs w:val="24"/>
              </w:rPr>
              <w:t xml:space="preserve"> toodang.“;</w:t>
            </w:r>
          </w:p>
          <w:p w14:paraId="432A10CB" w14:textId="7F511C1D" w:rsidR="00C16497" w:rsidRDefault="00C16497" w:rsidP="00C16497">
            <w:pPr>
              <w:jc w:val="both"/>
              <w:rPr>
                <w:rFonts w:ascii="Times New Roman" w:eastAsia="Times New Roman" w:hAnsi="Times New Roman" w:cs="Times New Roman"/>
                <w:sz w:val="24"/>
                <w:szCs w:val="24"/>
              </w:rPr>
            </w:pPr>
            <w:r w:rsidRPr="4E446B8B">
              <w:rPr>
                <w:rFonts w:ascii="Times New Roman" w:eastAsia="Times New Roman" w:hAnsi="Times New Roman" w:cs="Times New Roman"/>
                <w:sz w:val="24"/>
                <w:szCs w:val="24"/>
              </w:rPr>
              <w:t xml:space="preserve">Mille poolest erineb säte kehtiva ELTS § 58 lg-2 esimesest lausest? </w:t>
            </w:r>
          </w:p>
          <w:p w14:paraId="3CB8C651" w14:textId="310551E1" w:rsidR="00C16497" w:rsidRDefault="00C16497" w:rsidP="00C16497">
            <w:pPr>
              <w:jc w:val="both"/>
              <w:rPr>
                <w:rFonts w:ascii="Times New Roman" w:eastAsia="Times New Roman" w:hAnsi="Times New Roman" w:cs="Times New Roman"/>
                <w:i/>
                <w:iCs/>
                <w:sz w:val="24"/>
                <w:szCs w:val="24"/>
              </w:rPr>
            </w:pPr>
            <w:r w:rsidRPr="4E446B8B">
              <w:rPr>
                <w:rFonts w:ascii="Times New Roman" w:eastAsia="Times New Roman" w:hAnsi="Times New Roman" w:cs="Times New Roman"/>
                <w:sz w:val="24"/>
                <w:szCs w:val="24"/>
              </w:rPr>
              <w:t xml:space="preserve">See sätestab: </w:t>
            </w:r>
            <w:r w:rsidRPr="4E446B8B">
              <w:rPr>
                <w:rFonts w:ascii="Times New Roman" w:eastAsia="Times New Roman" w:hAnsi="Times New Roman" w:cs="Times New Roman"/>
                <w:i/>
                <w:iCs/>
                <w:color w:val="202020"/>
                <w:sz w:val="24"/>
                <w:szCs w:val="24"/>
              </w:rPr>
              <w:t>E</w:t>
            </w:r>
            <w:r w:rsidRPr="4E446B8B">
              <w:rPr>
                <w:rFonts w:ascii="Times New Roman" w:eastAsia="Times New Roman" w:hAnsi="Times New Roman" w:cs="Times New Roman"/>
                <w:i/>
                <w:iCs/>
                <w:color w:val="202020"/>
                <w:sz w:val="24"/>
                <w:szCs w:val="24"/>
                <w:u w:val="single"/>
              </w:rPr>
              <w:t xml:space="preserve">lektrienergia kogus […], mille eest tervikuna või osaliselt makstakse </w:t>
            </w:r>
            <w:r w:rsidRPr="4E446B8B">
              <w:rPr>
                <w:rFonts w:ascii="Times New Roman" w:eastAsia="Times New Roman" w:hAnsi="Times New Roman" w:cs="Times New Roman"/>
                <w:i/>
                <w:iCs/>
                <w:color w:val="202020"/>
                <w:sz w:val="24"/>
                <w:szCs w:val="24"/>
              </w:rPr>
              <w:t xml:space="preserve">§-s 59, </w:t>
            </w:r>
            <w:r w:rsidRPr="4E446B8B">
              <w:rPr>
                <w:rFonts w:ascii="Times New Roman" w:eastAsia="Times New Roman" w:hAnsi="Times New Roman" w:cs="Times New Roman"/>
                <w:i/>
                <w:iCs/>
                <w:color w:val="202020"/>
                <w:sz w:val="24"/>
                <w:szCs w:val="24"/>
                <w:u w:val="single"/>
              </w:rPr>
              <w:t>59</w:t>
            </w:r>
            <w:r w:rsidRPr="4E446B8B">
              <w:rPr>
                <w:rFonts w:ascii="Times New Roman" w:eastAsia="Times New Roman" w:hAnsi="Times New Roman" w:cs="Times New Roman"/>
                <w:i/>
                <w:iCs/>
                <w:color w:val="202020"/>
                <w:sz w:val="24"/>
                <w:szCs w:val="24"/>
                <w:u w:val="single"/>
                <w:vertAlign w:val="superscript"/>
              </w:rPr>
              <w:t>4</w:t>
            </w:r>
            <w:r w:rsidRPr="4E446B8B">
              <w:rPr>
                <w:rFonts w:ascii="Times New Roman" w:eastAsia="Times New Roman" w:hAnsi="Times New Roman" w:cs="Times New Roman"/>
                <w:i/>
                <w:iCs/>
                <w:color w:val="202020"/>
                <w:sz w:val="24"/>
                <w:szCs w:val="24"/>
              </w:rPr>
              <w:t>, 59</w:t>
            </w:r>
            <w:r w:rsidRPr="4E446B8B">
              <w:rPr>
                <w:rFonts w:ascii="Times New Roman" w:eastAsia="Times New Roman" w:hAnsi="Times New Roman" w:cs="Times New Roman"/>
                <w:i/>
                <w:iCs/>
                <w:color w:val="202020"/>
                <w:sz w:val="24"/>
                <w:szCs w:val="24"/>
                <w:vertAlign w:val="superscript"/>
              </w:rPr>
              <w:t>5</w:t>
            </w:r>
            <w:r w:rsidRPr="4E446B8B">
              <w:rPr>
                <w:rFonts w:ascii="Times New Roman" w:eastAsia="Times New Roman" w:hAnsi="Times New Roman" w:cs="Times New Roman"/>
                <w:i/>
                <w:iCs/>
                <w:color w:val="202020"/>
                <w:sz w:val="24"/>
                <w:szCs w:val="24"/>
              </w:rPr>
              <w:t xml:space="preserve"> või 59</w:t>
            </w:r>
            <w:r w:rsidRPr="4E446B8B">
              <w:rPr>
                <w:rFonts w:ascii="Times New Roman" w:eastAsia="Times New Roman" w:hAnsi="Times New Roman" w:cs="Times New Roman"/>
                <w:i/>
                <w:iCs/>
                <w:color w:val="202020"/>
                <w:sz w:val="24"/>
                <w:szCs w:val="24"/>
                <w:vertAlign w:val="superscript"/>
              </w:rPr>
              <w:t>6</w:t>
            </w:r>
            <w:r w:rsidRPr="4E446B8B">
              <w:rPr>
                <w:rFonts w:ascii="Times New Roman" w:eastAsia="Times New Roman" w:hAnsi="Times New Roman" w:cs="Times New Roman"/>
                <w:i/>
                <w:iCs/>
                <w:color w:val="202020"/>
                <w:sz w:val="24"/>
                <w:szCs w:val="24"/>
              </w:rPr>
              <w:t xml:space="preserve"> n</w:t>
            </w:r>
            <w:r w:rsidRPr="4E446B8B">
              <w:rPr>
                <w:rFonts w:ascii="Times New Roman" w:eastAsia="Times New Roman" w:hAnsi="Times New Roman" w:cs="Times New Roman"/>
                <w:i/>
                <w:iCs/>
                <w:color w:val="202020"/>
                <w:sz w:val="24"/>
                <w:szCs w:val="24"/>
                <w:u w:val="single"/>
              </w:rPr>
              <w:t xml:space="preserve">imetatud toetust, määratakse kindlaks </w:t>
            </w:r>
            <w:proofErr w:type="spellStart"/>
            <w:r w:rsidRPr="4E446B8B">
              <w:rPr>
                <w:rFonts w:ascii="Times New Roman" w:eastAsia="Times New Roman" w:hAnsi="Times New Roman" w:cs="Times New Roman"/>
                <w:i/>
                <w:iCs/>
                <w:color w:val="202020"/>
                <w:sz w:val="24"/>
                <w:szCs w:val="24"/>
                <w:u w:val="single"/>
              </w:rPr>
              <w:t>kauglugemisseadmega</w:t>
            </w:r>
            <w:proofErr w:type="spellEnd"/>
            <w:r w:rsidRPr="4E446B8B">
              <w:rPr>
                <w:rFonts w:ascii="Times New Roman" w:eastAsia="Times New Roman" w:hAnsi="Times New Roman" w:cs="Times New Roman"/>
                <w:i/>
                <w:iCs/>
                <w:color w:val="202020"/>
                <w:sz w:val="24"/>
                <w:szCs w:val="24"/>
                <w:u w:val="single"/>
              </w:rPr>
              <w:t xml:space="preserve"> ning selleks loetakse tootja elektrijaama kõikides liitumispunktides kokku kauplemisperioodi jooksul tegevusloa alusel tegutseva võrguettevõtja võrku antud </w:t>
            </w:r>
            <w:proofErr w:type="spellStart"/>
            <w:r w:rsidRPr="4E446B8B">
              <w:rPr>
                <w:rFonts w:ascii="Times New Roman" w:eastAsia="Times New Roman" w:hAnsi="Times New Roman" w:cs="Times New Roman"/>
                <w:i/>
                <w:iCs/>
                <w:color w:val="202020"/>
                <w:sz w:val="24"/>
                <w:szCs w:val="24"/>
                <w:u w:val="single"/>
              </w:rPr>
              <w:t>saldeeritud</w:t>
            </w:r>
            <w:proofErr w:type="spellEnd"/>
            <w:r w:rsidRPr="4E446B8B">
              <w:rPr>
                <w:rFonts w:ascii="Times New Roman" w:eastAsia="Times New Roman" w:hAnsi="Times New Roman" w:cs="Times New Roman"/>
                <w:i/>
                <w:iCs/>
                <w:color w:val="202020"/>
                <w:sz w:val="24"/>
                <w:szCs w:val="24"/>
                <w:u w:val="single"/>
              </w:rPr>
              <w:t xml:space="preserve"> toodang </w:t>
            </w:r>
            <w:r w:rsidRPr="4E446B8B">
              <w:rPr>
                <w:rFonts w:ascii="Times New Roman" w:eastAsia="Times New Roman" w:hAnsi="Times New Roman" w:cs="Times New Roman"/>
                <w:i/>
                <w:iCs/>
                <w:color w:val="202020"/>
                <w:sz w:val="24"/>
                <w:szCs w:val="24"/>
              </w:rPr>
              <w:t>ja käesoleva seaduse kohase otseliini kaudu tarbijale edastatud elektrienergia kogus.</w:t>
            </w:r>
            <w:r w:rsidRPr="4E446B8B">
              <w:rPr>
                <w:rFonts w:ascii="Times New Roman" w:eastAsia="Times New Roman" w:hAnsi="Times New Roman" w:cs="Times New Roman"/>
                <w:i/>
                <w:iCs/>
                <w:sz w:val="24"/>
                <w:szCs w:val="24"/>
              </w:rPr>
              <w:t xml:space="preserve"> </w:t>
            </w:r>
          </w:p>
          <w:p w14:paraId="00783941" w14:textId="48693FCC" w:rsidR="00C16497" w:rsidRDefault="00C16497" w:rsidP="00C16497">
            <w:pPr>
              <w:spacing w:before="240" w:after="240"/>
              <w:jc w:val="both"/>
              <w:rPr>
                <w:rFonts w:ascii="Times New Roman" w:eastAsia="Times New Roman" w:hAnsi="Times New Roman" w:cs="Times New Roman"/>
                <w:sz w:val="24"/>
                <w:szCs w:val="24"/>
              </w:rPr>
            </w:pPr>
            <w:r w:rsidRPr="4E446B8B">
              <w:rPr>
                <w:rFonts w:ascii="Times New Roman" w:eastAsia="Times New Roman" w:hAnsi="Times New Roman" w:cs="Times New Roman"/>
                <w:sz w:val="24"/>
                <w:szCs w:val="24"/>
              </w:rPr>
              <w:t xml:space="preserve">SK ei anna selgitust. Praegusel kujul ei ole sätte lisamine arusaadav, kui kehtiv õigus juba katab eelnõu kohases </w:t>
            </w:r>
            <w:proofErr w:type="spellStart"/>
            <w:r w:rsidRPr="4E446B8B">
              <w:rPr>
                <w:rFonts w:ascii="Times New Roman" w:eastAsia="Times New Roman" w:hAnsi="Times New Roman" w:cs="Times New Roman"/>
                <w:sz w:val="24"/>
                <w:szCs w:val="24"/>
              </w:rPr>
              <w:t>lg-s</w:t>
            </w:r>
            <w:proofErr w:type="spellEnd"/>
            <w:r w:rsidRPr="4E446B8B">
              <w:rPr>
                <w:rFonts w:ascii="Times New Roman" w:eastAsia="Times New Roman" w:hAnsi="Times New Roman" w:cs="Times New Roman"/>
                <w:sz w:val="24"/>
                <w:szCs w:val="24"/>
              </w:rPr>
              <w:t xml:space="preserve"> 2­-3 sätestatud määratlust.</w:t>
            </w:r>
          </w:p>
          <w:p w14:paraId="0D592364" w14:textId="2E98DAA0" w:rsidR="00C16497" w:rsidRDefault="00C16497" w:rsidP="00C16497">
            <w:pPr>
              <w:jc w:val="both"/>
              <w:rPr>
                <w:rFonts w:ascii="Times New Roman" w:hAnsi="Times New Roman" w:cs="Times New Roman"/>
                <w:sz w:val="24"/>
                <w:szCs w:val="24"/>
              </w:rPr>
            </w:pPr>
          </w:p>
        </w:tc>
        <w:tc>
          <w:tcPr>
            <w:tcW w:w="3282" w:type="dxa"/>
          </w:tcPr>
          <w:p w14:paraId="50322F05" w14:textId="35B8854A" w:rsidR="00C16497" w:rsidRDefault="00C16497" w:rsidP="00C16497">
            <w:pPr>
              <w:spacing w:before="240" w:after="240"/>
              <w:jc w:val="both"/>
              <w:rPr>
                <w:rFonts w:ascii="Times New Roman" w:eastAsia="Times New Roman" w:hAnsi="Times New Roman" w:cs="Times New Roman"/>
                <w:sz w:val="24"/>
                <w:szCs w:val="24"/>
              </w:rPr>
            </w:pPr>
            <w:r w:rsidRPr="4E446B8B">
              <w:rPr>
                <w:rFonts w:ascii="Times New Roman" w:eastAsia="Times New Roman" w:hAnsi="Times New Roman" w:cs="Times New Roman"/>
                <w:b/>
                <w:bCs/>
                <w:sz w:val="24"/>
                <w:szCs w:val="24"/>
              </w:rPr>
              <w:t>Selgitame</w:t>
            </w:r>
          </w:p>
          <w:p w14:paraId="5E97EB46" w14:textId="30626441" w:rsidR="00C16497" w:rsidRDefault="00C16497" w:rsidP="00C16497">
            <w:pPr>
              <w:spacing w:before="240" w:after="240"/>
              <w:jc w:val="both"/>
              <w:rPr>
                <w:rFonts w:ascii="Times New Roman" w:eastAsia="Times New Roman" w:hAnsi="Times New Roman" w:cs="Times New Roman"/>
                <w:sz w:val="24"/>
                <w:szCs w:val="24"/>
              </w:rPr>
            </w:pPr>
            <w:r w:rsidRPr="4E446B8B">
              <w:rPr>
                <w:rFonts w:ascii="Times New Roman" w:eastAsia="Times New Roman" w:hAnsi="Times New Roman" w:cs="Times New Roman"/>
                <w:sz w:val="24"/>
                <w:szCs w:val="24"/>
              </w:rPr>
              <w:t>Eelnõu p-ga 1 lisatav ELTS § 58 lg 2</w:t>
            </w:r>
            <w:r w:rsidRPr="4E446B8B">
              <w:rPr>
                <w:rFonts w:ascii="Times New Roman" w:eastAsia="Times New Roman" w:hAnsi="Times New Roman" w:cs="Times New Roman"/>
                <w:sz w:val="24"/>
                <w:szCs w:val="24"/>
                <w:vertAlign w:val="superscript"/>
              </w:rPr>
              <w:t>3</w:t>
            </w:r>
            <w:r w:rsidRPr="4E446B8B">
              <w:rPr>
                <w:rFonts w:ascii="Times New Roman" w:eastAsia="Times New Roman" w:hAnsi="Times New Roman" w:cs="Times New Roman"/>
                <w:sz w:val="24"/>
                <w:szCs w:val="24"/>
              </w:rPr>
              <w:t xml:space="preserve"> erineb kehtiva ELTS § 58 </w:t>
            </w:r>
            <w:proofErr w:type="spellStart"/>
            <w:r w:rsidRPr="4E446B8B">
              <w:rPr>
                <w:rFonts w:ascii="Times New Roman" w:eastAsia="Times New Roman" w:hAnsi="Times New Roman" w:cs="Times New Roman"/>
                <w:sz w:val="24"/>
                <w:szCs w:val="24"/>
              </w:rPr>
              <w:t>lg-st</w:t>
            </w:r>
            <w:proofErr w:type="spellEnd"/>
            <w:r w:rsidRPr="4E446B8B">
              <w:rPr>
                <w:rFonts w:ascii="Times New Roman" w:eastAsia="Times New Roman" w:hAnsi="Times New Roman" w:cs="Times New Roman"/>
                <w:sz w:val="24"/>
                <w:szCs w:val="24"/>
              </w:rPr>
              <w:t xml:space="preserve"> 2 selle poolest, et lg 2</w:t>
            </w:r>
            <w:r w:rsidRPr="4E446B8B">
              <w:rPr>
                <w:rFonts w:ascii="Times New Roman" w:eastAsia="Times New Roman" w:hAnsi="Times New Roman" w:cs="Times New Roman"/>
                <w:sz w:val="24"/>
                <w:szCs w:val="24"/>
                <w:vertAlign w:val="superscript"/>
              </w:rPr>
              <w:t>3</w:t>
            </w:r>
            <w:r w:rsidRPr="4E446B8B">
              <w:rPr>
                <w:rFonts w:ascii="Times New Roman" w:eastAsia="Times New Roman" w:hAnsi="Times New Roman" w:cs="Times New Roman"/>
                <w:sz w:val="24"/>
                <w:szCs w:val="24"/>
              </w:rPr>
              <w:t xml:space="preserve"> alusel makstakse toetust üksnes võrku antud toodangu eest, </w:t>
            </w:r>
            <w:r w:rsidR="00E7726E" w:rsidRPr="006514B5">
              <w:rPr>
                <w:rFonts w:ascii="Times New Roman" w:eastAsia="Calibri" w:hAnsi="Times New Roman" w:cs="Times New Roman"/>
                <w:sz w:val="24"/>
                <w:szCs w:val="24"/>
              </w:rPr>
              <w:t xml:space="preserve">ilma seejuures välistamata elektrienergia </w:t>
            </w:r>
            <w:r w:rsidR="00E7726E">
              <w:rPr>
                <w:rFonts w:ascii="Times New Roman" w:eastAsia="Calibri" w:hAnsi="Times New Roman" w:cs="Times New Roman"/>
                <w:sz w:val="24"/>
                <w:szCs w:val="24"/>
              </w:rPr>
              <w:t xml:space="preserve">edastamise </w:t>
            </w:r>
            <w:r w:rsidR="00E7726E" w:rsidRPr="006514B5">
              <w:rPr>
                <w:rFonts w:ascii="Times New Roman" w:eastAsia="Calibri" w:hAnsi="Times New Roman" w:cs="Times New Roman"/>
                <w:sz w:val="24"/>
                <w:szCs w:val="24"/>
              </w:rPr>
              <w:t xml:space="preserve">otseostulepingute kaudu määratud tarnetena või ELTS </w:t>
            </w:r>
            <w:r w:rsidR="00E7726E" w:rsidRPr="006514B5">
              <w:rPr>
                <w:rFonts w:ascii="Times New Roman" w:hAnsi="Times New Roman" w:cs="Times New Roman"/>
                <w:sz w:val="24"/>
                <w:szCs w:val="24"/>
              </w:rPr>
              <w:t>paragrahvi 61 lõike 1 punktis 1 sätestatud otseliini</w:t>
            </w:r>
            <w:r w:rsidR="00E7726E" w:rsidRPr="006514B5">
              <w:rPr>
                <w:rFonts w:ascii="Times New Roman" w:eastAsia="Calibri" w:hAnsi="Times New Roman" w:cs="Times New Roman"/>
                <w:sz w:val="24"/>
                <w:szCs w:val="24"/>
              </w:rPr>
              <w:t xml:space="preserve">. </w:t>
            </w:r>
            <w:r w:rsidRPr="4E446B8B">
              <w:rPr>
                <w:rFonts w:ascii="Times New Roman" w:eastAsia="Times New Roman" w:hAnsi="Times New Roman" w:cs="Times New Roman"/>
                <w:sz w:val="24"/>
                <w:szCs w:val="24"/>
              </w:rPr>
              <w:t xml:space="preserve">Ka seletuskirjas on mh selgitus, et eesmärk on tagada toetuse maksmine üksnes otse turule müüdud ehk tegevusloa alusel tegutseva võrguettevõtja võrku </w:t>
            </w:r>
            <w:r w:rsidRPr="4E446B8B">
              <w:rPr>
                <w:rFonts w:ascii="Times New Roman" w:eastAsia="Times New Roman" w:hAnsi="Times New Roman" w:cs="Times New Roman"/>
                <w:sz w:val="24"/>
                <w:szCs w:val="24"/>
              </w:rPr>
              <w:lastRenderedPageBreak/>
              <w:t>antud elektrienergia pealt ning abisaajad peaksid olema avatud hinnakõikumistele ja tururiskidele, seega on eelduseks toodetud elektri turul müümise nõue.</w:t>
            </w:r>
          </w:p>
          <w:p w14:paraId="1A43D2F0" w14:textId="5E2C2518" w:rsidR="00C16497" w:rsidRDefault="00C16497" w:rsidP="00C16497">
            <w:pPr>
              <w:spacing w:before="240" w:after="240"/>
              <w:jc w:val="both"/>
              <w:rPr>
                <w:rFonts w:ascii="Times New Roman" w:eastAsia="Times New Roman" w:hAnsi="Times New Roman" w:cs="Times New Roman"/>
                <w:sz w:val="24"/>
                <w:szCs w:val="24"/>
              </w:rPr>
            </w:pPr>
            <w:r w:rsidRPr="4E446B8B">
              <w:rPr>
                <w:rFonts w:ascii="Times New Roman" w:eastAsia="Times New Roman" w:hAnsi="Times New Roman" w:cs="Times New Roman"/>
                <w:sz w:val="24"/>
                <w:szCs w:val="24"/>
              </w:rPr>
              <w:t>Täiendame eelnõ</w:t>
            </w:r>
            <w:r>
              <w:rPr>
                <w:rFonts w:ascii="Times New Roman" w:eastAsia="Times New Roman" w:hAnsi="Times New Roman" w:cs="Times New Roman"/>
                <w:sz w:val="24"/>
                <w:szCs w:val="24"/>
              </w:rPr>
              <w:t>u</w:t>
            </w:r>
            <w:r w:rsidRPr="4E446B8B">
              <w:rPr>
                <w:rFonts w:ascii="Times New Roman" w:eastAsia="Times New Roman" w:hAnsi="Times New Roman" w:cs="Times New Roman"/>
                <w:sz w:val="24"/>
                <w:szCs w:val="24"/>
              </w:rPr>
              <w:t xml:space="preserve">d rakendussättega, et oleks tagatud õigusselgus selles osas, et see muudatus eelnõus kehtib ainult uutele vähempakkumistele.  </w:t>
            </w:r>
          </w:p>
        </w:tc>
      </w:tr>
      <w:tr w:rsidR="00C16497" w14:paraId="38239F9A" w14:textId="77777777" w:rsidTr="3199B330">
        <w:trPr>
          <w:trHeight w:val="300"/>
        </w:trPr>
        <w:tc>
          <w:tcPr>
            <w:tcW w:w="10710" w:type="dxa"/>
          </w:tcPr>
          <w:p w14:paraId="22EB7F03" w14:textId="1F645F54" w:rsidR="00C16497" w:rsidRDefault="00C16497" w:rsidP="00C16497">
            <w:pPr>
              <w:pStyle w:val="Loendilik"/>
              <w:numPr>
                <w:ilvl w:val="0"/>
                <w:numId w:val="27"/>
              </w:numPr>
              <w:jc w:val="both"/>
            </w:pPr>
            <w:r w:rsidRPr="4E446B8B">
              <w:rPr>
                <w:rFonts w:ascii="Times New Roman" w:eastAsia="Times New Roman" w:hAnsi="Times New Roman" w:cs="Times New Roman"/>
                <w:sz w:val="24"/>
                <w:szCs w:val="24"/>
              </w:rPr>
              <w:lastRenderedPageBreak/>
              <w:t>paragrahvi 59</w:t>
            </w:r>
            <w:r w:rsidRPr="4E446B8B">
              <w:rPr>
                <w:rFonts w:ascii="Times New Roman" w:eastAsia="Times New Roman" w:hAnsi="Times New Roman" w:cs="Times New Roman"/>
                <w:sz w:val="24"/>
                <w:szCs w:val="24"/>
                <w:vertAlign w:val="superscript"/>
              </w:rPr>
              <w:t>7</w:t>
            </w:r>
            <w:r w:rsidRPr="4E446B8B">
              <w:rPr>
                <w:rFonts w:ascii="Times New Roman" w:eastAsia="Times New Roman" w:hAnsi="Times New Roman" w:cs="Times New Roman"/>
                <w:sz w:val="24"/>
                <w:szCs w:val="24"/>
              </w:rPr>
              <w:t xml:space="preserve"> lõikes 5 asendatakse sõnad „viie tööpäeva“ sõnadega „kolmekümne kalendripäeva“ ja täiendatakse pärast sõna „mahus“ tekstiosaga „ja teavitab aastase mahu täitumisest vähempakkumise läbiviijat“;</w:t>
            </w:r>
          </w:p>
          <w:p w14:paraId="6C2B9BD3" w14:textId="20821B13" w:rsidR="00C16497" w:rsidRDefault="00C16497" w:rsidP="00C16497">
            <w:pPr>
              <w:spacing w:before="240" w:after="240"/>
              <w:jc w:val="both"/>
              <w:rPr>
                <w:rFonts w:ascii="Times New Roman" w:eastAsia="Times New Roman" w:hAnsi="Times New Roman" w:cs="Times New Roman"/>
                <w:sz w:val="24"/>
                <w:szCs w:val="24"/>
              </w:rPr>
            </w:pPr>
            <w:r w:rsidRPr="4E446B8B">
              <w:rPr>
                <w:rFonts w:ascii="Times New Roman" w:eastAsia="Times New Roman" w:hAnsi="Times New Roman" w:cs="Times New Roman"/>
                <w:sz w:val="24"/>
                <w:szCs w:val="24"/>
              </w:rPr>
              <w:t>Sõnastus jätab ebaselgeks, kas tagatisraha tagastamise tähtaeg hakkab kulgema aastase mahu täitumisest või vastava teate esitamisest. Palume see läbi mõelda ja sõnastust vastavalt täpsustada.</w:t>
            </w:r>
          </w:p>
        </w:tc>
        <w:tc>
          <w:tcPr>
            <w:tcW w:w="3282" w:type="dxa"/>
          </w:tcPr>
          <w:p w14:paraId="5B88024C" w14:textId="69CE519E" w:rsidR="00C16497" w:rsidRDefault="00C16497" w:rsidP="00C16497">
            <w:pPr>
              <w:jc w:val="both"/>
              <w:rPr>
                <w:rFonts w:ascii="Times New Roman" w:eastAsia="Calibri" w:hAnsi="Times New Roman" w:cs="Times New Roman"/>
                <w:b/>
                <w:bCs/>
                <w:sz w:val="24"/>
                <w:szCs w:val="24"/>
              </w:rPr>
            </w:pPr>
            <w:r w:rsidRPr="013F8064">
              <w:rPr>
                <w:rFonts w:ascii="Times New Roman" w:eastAsia="Calibri" w:hAnsi="Times New Roman" w:cs="Times New Roman"/>
                <w:b/>
                <w:bCs/>
                <w:sz w:val="24"/>
                <w:szCs w:val="24"/>
              </w:rPr>
              <w:t>Selgitame</w:t>
            </w:r>
          </w:p>
          <w:p w14:paraId="0AFA1A66" w14:textId="0B95AEC2" w:rsidR="00C16497" w:rsidRDefault="00C16497" w:rsidP="00C16497">
            <w:pPr>
              <w:jc w:val="both"/>
              <w:rPr>
                <w:rFonts w:ascii="Times New Roman" w:eastAsia="Calibri" w:hAnsi="Times New Roman" w:cs="Times New Roman"/>
                <w:sz w:val="24"/>
                <w:szCs w:val="24"/>
              </w:rPr>
            </w:pPr>
            <w:r w:rsidRPr="013F8064">
              <w:rPr>
                <w:rFonts w:ascii="Times New Roman" w:eastAsia="Calibri" w:hAnsi="Times New Roman" w:cs="Times New Roman"/>
                <w:sz w:val="24"/>
                <w:szCs w:val="24"/>
              </w:rPr>
              <w:t xml:space="preserve">Tagatisraha tagastamise tähtaeg hakkab kulgema aastase mahu täitumisest </w:t>
            </w:r>
            <w:r w:rsidRPr="013F8064">
              <w:rPr>
                <w:rFonts w:ascii="Times New Roman" w:eastAsia="Calibri" w:hAnsi="Times New Roman" w:cs="Times New Roman"/>
                <w:b/>
                <w:bCs/>
                <w:sz w:val="24"/>
                <w:szCs w:val="24"/>
              </w:rPr>
              <w:t>ja</w:t>
            </w:r>
            <w:r w:rsidRPr="013F8064">
              <w:rPr>
                <w:rFonts w:ascii="Times New Roman" w:eastAsia="Calibri" w:hAnsi="Times New Roman" w:cs="Times New Roman"/>
                <w:sz w:val="24"/>
                <w:szCs w:val="24"/>
              </w:rPr>
              <w:t xml:space="preserve"> vastava teate esitamisest. Mõlemad tingimused peavad olema täidetud. </w:t>
            </w:r>
          </w:p>
        </w:tc>
      </w:tr>
      <w:tr w:rsidR="00C16497" w14:paraId="1F3DD61B" w14:textId="77777777" w:rsidTr="3199B330">
        <w:trPr>
          <w:trHeight w:val="300"/>
        </w:trPr>
        <w:tc>
          <w:tcPr>
            <w:tcW w:w="10710" w:type="dxa"/>
          </w:tcPr>
          <w:p w14:paraId="39A2FAC4" w14:textId="3CA8B982" w:rsidR="00C16497" w:rsidRDefault="00C16497" w:rsidP="00C16497">
            <w:pPr>
              <w:jc w:val="both"/>
              <w:rPr>
                <w:rFonts w:ascii="Times New Roman" w:eastAsia="Times New Roman" w:hAnsi="Times New Roman" w:cs="Times New Roman"/>
                <w:b/>
                <w:bCs/>
                <w:sz w:val="24"/>
                <w:szCs w:val="24"/>
              </w:rPr>
            </w:pPr>
            <w:r w:rsidRPr="4E446B8B">
              <w:rPr>
                <w:rFonts w:ascii="Times New Roman" w:eastAsia="Times New Roman" w:hAnsi="Times New Roman" w:cs="Times New Roman"/>
                <w:b/>
                <w:bCs/>
                <w:sz w:val="24"/>
                <w:szCs w:val="24"/>
              </w:rPr>
              <w:t>Märkused eelnõu</w:t>
            </w:r>
            <w:r w:rsidR="00167901">
              <w:rPr>
                <w:rFonts w:ascii="Times New Roman" w:eastAsia="Times New Roman" w:hAnsi="Times New Roman" w:cs="Times New Roman"/>
                <w:b/>
                <w:bCs/>
                <w:sz w:val="24"/>
                <w:szCs w:val="24"/>
              </w:rPr>
              <w:t xml:space="preserve"> tekstis</w:t>
            </w:r>
          </w:p>
        </w:tc>
        <w:tc>
          <w:tcPr>
            <w:tcW w:w="3282" w:type="dxa"/>
          </w:tcPr>
          <w:p w14:paraId="311E365E" w14:textId="36B37FA3" w:rsidR="00C16497" w:rsidRDefault="00C16497" w:rsidP="00C16497">
            <w:pPr>
              <w:jc w:val="both"/>
              <w:rPr>
                <w:rFonts w:ascii="Times New Roman" w:eastAsia="Calibri" w:hAnsi="Times New Roman" w:cs="Times New Roman"/>
                <w:b/>
                <w:bCs/>
                <w:sz w:val="24"/>
                <w:szCs w:val="24"/>
              </w:rPr>
            </w:pPr>
            <w:r w:rsidRPr="4E446B8B">
              <w:rPr>
                <w:rFonts w:ascii="Times New Roman" w:eastAsia="Calibri" w:hAnsi="Times New Roman" w:cs="Times New Roman"/>
                <w:b/>
                <w:bCs/>
                <w:sz w:val="24"/>
                <w:szCs w:val="24"/>
              </w:rPr>
              <w:t>Arvestatud osaliselt</w:t>
            </w:r>
          </w:p>
          <w:p w14:paraId="28D01DF1" w14:textId="7069E226" w:rsidR="00C16497" w:rsidRDefault="00C16497" w:rsidP="00C16497">
            <w:pPr>
              <w:jc w:val="both"/>
              <w:rPr>
                <w:rFonts w:ascii="Times New Roman" w:eastAsia="Calibri" w:hAnsi="Times New Roman" w:cs="Times New Roman"/>
                <w:b/>
                <w:bCs/>
                <w:sz w:val="24"/>
                <w:szCs w:val="24"/>
              </w:rPr>
            </w:pPr>
            <w:r w:rsidRPr="4E446B8B">
              <w:rPr>
                <w:rFonts w:ascii="Times New Roman" w:eastAsia="Calibri" w:hAnsi="Times New Roman" w:cs="Times New Roman"/>
                <w:sz w:val="24"/>
                <w:szCs w:val="24"/>
              </w:rPr>
              <w:t>Selgitused Justiitsministeeriumi märkustele, mille osas ei ole tehtud eelnõus muudatusi (tabelis märkused 2 ja 3</w:t>
            </w:r>
            <w:r w:rsidRPr="4E446B8B">
              <w:rPr>
                <w:rFonts w:ascii="Times New Roman" w:eastAsia="Calibri" w:hAnsi="Times New Roman" w:cs="Times New Roman"/>
                <w:b/>
                <w:bCs/>
                <w:sz w:val="24"/>
                <w:szCs w:val="24"/>
              </w:rPr>
              <w:t>).</w:t>
            </w:r>
          </w:p>
        </w:tc>
      </w:tr>
      <w:tr w:rsidR="00C16497" w14:paraId="3183DCEB" w14:textId="77777777" w:rsidTr="3199B330">
        <w:trPr>
          <w:trHeight w:val="300"/>
        </w:trPr>
        <w:tc>
          <w:tcPr>
            <w:tcW w:w="10710" w:type="dxa"/>
          </w:tcPr>
          <w:p w14:paraId="34894A6D" w14:textId="1D49C2C5" w:rsidR="00C16497" w:rsidRDefault="00C16497" w:rsidP="00C16497">
            <w:pPr>
              <w:jc w:val="both"/>
              <w:rPr>
                <w:rFonts w:ascii="Times New Roman" w:eastAsia="Times New Roman" w:hAnsi="Times New Roman" w:cs="Times New Roman"/>
                <w:b/>
                <w:bCs/>
                <w:sz w:val="24"/>
                <w:szCs w:val="24"/>
              </w:rPr>
            </w:pPr>
            <w:r w:rsidRPr="4E446B8B">
              <w:rPr>
                <w:rFonts w:ascii="Times New Roman" w:eastAsia="Times New Roman" w:hAnsi="Times New Roman" w:cs="Times New Roman"/>
                <w:b/>
                <w:bCs/>
                <w:sz w:val="24"/>
                <w:szCs w:val="24"/>
              </w:rPr>
              <w:t>Märkused seletuskirjas</w:t>
            </w:r>
          </w:p>
        </w:tc>
        <w:tc>
          <w:tcPr>
            <w:tcW w:w="3282" w:type="dxa"/>
          </w:tcPr>
          <w:p w14:paraId="01D2AB9A" w14:textId="164B3F32" w:rsidR="00C16497" w:rsidRDefault="00C16497" w:rsidP="00C16497">
            <w:pPr>
              <w:jc w:val="both"/>
              <w:rPr>
                <w:rFonts w:ascii="Times New Roman" w:eastAsia="Calibri" w:hAnsi="Times New Roman" w:cs="Times New Roman"/>
                <w:b/>
                <w:bCs/>
                <w:sz w:val="24"/>
                <w:szCs w:val="24"/>
              </w:rPr>
            </w:pPr>
            <w:r w:rsidRPr="4E446B8B">
              <w:rPr>
                <w:rFonts w:ascii="Times New Roman" w:eastAsia="Calibri" w:hAnsi="Times New Roman" w:cs="Times New Roman"/>
                <w:b/>
                <w:bCs/>
                <w:sz w:val="24"/>
                <w:szCs w:val="24"/>
              </w:rPr>
              <w:t>Arvestatud</w:t>
            </w:r>
          </w:p>
        </w:tc>
      </w:tr>
    </w:tbl>
    <w:p w14:paraId="4672643B" w14:textId="1E928267" w:rsidR="00B83D55" w:rsidRPr="001C41A6" w:rsidRDefault="00B83D55" w:rsidP="00437164">
      <w:pPr>
        <w:spacing w:after="0" w:line="240" w:lineRule="auto"/>
        <w:rPr>
          <w:rFonts w:ascii="Times New Roman" w:hAnsi="Times New Roman" w:cs="Times New Roman"/>
          <w:sz w:val="24"/>
          <w:szCs w:val="24"/>
        </w:rPr>
      </w:pPr>
    </w:p>
    <w:sectPr w:rsidR="00B83D55" w:rsidRPr="001C41A6" w:rsidSect="006E0D50">
      <w:footerReference w:type="default" r:id="rId16"/>
      <w:pgSz w:w="16838" w:h="11906" w:orient="landscape"/>
      <w:pgMar w:top="851" w:right="1418" w:bottom="993" w:left="1418" w:header="709"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4D4B5" w14:textId="77777777" w:rsidR="0042022A" w:rsidRDefault="0042022A" w:rsidP="00BB6264">
      <w:pPr>
        <w:spacing w:after="0" w:line="240" w:lineRule="auto"/>
      </w:pPr>
      <w:r>
        <w:separator/>
      </w:r>
    </w:p>
  </w:endnote>
  <w:endnote w:type="continuationSeparator" w:id="0">
    <w:p w14:paraId="01F4704E" w14:textId="77777777" w:rsidR="0042022A" w:rsidRDefault="0042022A" w:rsidP="00BB6264">
      <w:pPr>
        <w:spacing w:after="0" w:line="240" w:lineRule="auto"/>
      </w:pPr>
      <w:r>
        <w:continuationSeparator/>
      </w:r>
    </w:p>
  </w:endnote>
  <w:endnote w:type="continuationNotice" w:id="1">
    <w:p w14:paraId="23838B26" w14:textId="77777777" w:rsidR="0042022A" w:rsidRDefault="00420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Helvetica Neue">
    <w:altName w:val="Arial"/>
    <w:charset w:val="00"/>
    <w:family w:val="roman"/>
    <w:pitch w:val="default"/>
  </w:font>
  <w:font w:name="Times">
    <w:panose1 w:val="02020603050405020304"/>
    <w:charset w:val="BA"/>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014421"/>
      <w:docPartObj>
        <w:docPartGallery w:val="Page Numbers (Bottom of Page)"/>
        <w:docPartUnique/>
      </w:docPartObj>
    </w:sdtPr>
    <w:sdtEndPr>
      <w:rPr>
        <w:rFonts w:ascii="Times New Roman" w:hAnsi="Times New Roman" w:cs="Times New Roman"/>
        <w:sz w:val="24"/>
        <w:szCs w:val="24"/>
      </w:rPr>
    </w:sdtEndPr>
    <w:sdtContent>
      <w:p w14:paraId="2D7BFE28" w14:textId="77777777" w:rsidR="004C0AA2" w:rsidRPr="00BB6264" w:rsidRDefault="004C0AA2">
        <w:pPr>
          <w:pStyle w:val="Jalus"/>
          <w:jc w:val="center"/>
          <w:rPr>
            <w:rFonts w:ascii="Times New Roman" w:hAnsi="Times New Roman" w:cs="Times New Roman"/>
            <w:sz w:val="24"/>
            <w:szCs w:val="24"/>
          </w:rPr>
        </w:pPr>
        <w:r w:rsidRPr="00BB6264">
          <w:rPr>
            <w:rFonts w:ascii="Times New Roman" w:hAnsi="Times New Roman" w:cs="Times New Roman"/>
            <w:sz w:val="24"/>
            <w:szCs w:val="24"/>
          </w:rPr>
          <w:fldChar w:fldCharType="begin"/>
        </w:r>
        <w:r w:rsidRPr="00BB6264">
          <w:rPr>
            <w:rFonts w:ascii="Times New Roman" w:hAnsi="Times New Roman" w:cs="Times New Roman"/>
            <w:sz w:val="24"/>
            <w:szCs w:val="24"/>
          </w:rPr>
          <w:instrText>PAGE   \* MERGEFORMAT</w:instrText>
        </w:r>
        <w:r w:rsidRPr="00BB6264">
          <w:rPr>
            <w:rFonts w:ascii="Times New Roman" w:hAnsi="Times New Roman" w:cs="Times New Roman"/>
            <w:sz w:val="24"/>
            <w:szCs w:val="24"/>
          </w:rPr>
          <w:fldChar w:fldCharType="separate"/>
        </w:r>
        <w:r>
          <w:rPr>
            <w:rFonts w:ascii="Times New Roman" w:hAnsi="Times New Roman" w:cs="Times New Roman"/>
            <w:noProof/>
            <w:sz w:val="24"/>
            <w:szCs w:val="24"/>
          </w:rPr>
          <w:t>22</w:t>
        </w:r>
        <w:r w:rsidRPr="00BB6264">
          <w:rPr>
            <w:rFonts w:ascii="Times New Roman" w:hAnsi="Times New Roman" w:cs="Times New Roman"/>
            <w:sz w:val="24"/>
            <w:szCs w:val="24"/>
          </w:rPr>
          <w:fldChar w:fldCharType="end"/>
        </w:r>
      </w:p>
    </w:sdtContent>
  </w:sdt>
  <w:p w14:paraId="08D20C64" w14:textId="06011221" w:rsidR="004C0AA2" w:rsidRDefault="005B6465" w:rsidP="005B6465">
    <w:pPr>
      <w:pStyle w:val="Jalus"/>
      <w:tabs>
        <w:tab w:val="clear" w:pos="4536"/>
        <w:tab w:val="clear" w:pos="9072"/>
        <w:tab w:val="left" w:pos="99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40904" w14:textId="77777777" w:rsidR="0042022A" w:rsidRDefault="0042022A" w:rsidP="00BB6264">
      <w:pPr>
        <w:spacing w:after="0" w:line="240" w:lineRule="auto"/>
      </w:pPr>
      <w:r>
        <w:separator/>
      </w:r>
    </w:p>
  </w:footnote>
  <w:footnote w:type="continuationSeparator" w:id="0">
    <w:p w14:paraId="1FD7D978" w14:textId="77777777" w:rsidR="0042022A" w:rsidRDefault="0042022A" w:rsidP="00BB6264">
      <w:pPr>
        <w:spacing w:after="0" w:line="240" w:lineRule="auto"/>
      </w:pPr>
      <w:r>
        <w:continuationSeparator/>
      </w:r>
    </w:p>
  </w:footnote>
  <w:footnote w:type="continuationNotice" w:id="1">
    <w:p w14:paraId="4A8F0227" w14:textId="77777777" w:rsidR="0042022A" w:rsidRDefault="0042022A">
      <w:pPr>
        <w:spacing w:after="0" w:line="240" w:lineRule="auto"/>
      </w:pPr>
    </w:p>
  </w:footnote>
  <w:footnote w:id="2">
    <w:p w14:paraId="57C48EA3" w14:textId="77777777" w:rsidR="009A5E81" w:rsidRDefault="009A5E81" w:rsidP="009A5E81">
      <w:pPr>
        <w:pStyle w:val="Allmrkusetekst"/>
      </w:pPr>
      <w:r>
        <w:rPr>
          <w:rStyle w:val="Allmrkuseviide"/>
        </w:rPr>
        <w:footnoteRef/>
      </w:r>
      <w:r>
        <w:t xml:space="preserve"> </w:t>
      </w:r>
      <w:r w:rsidRPr="002424EF">
        <w:t>https://keskkonnaportaal.ee/et/tuuleenergeetika-voimsus-eestis</w:t>
      </w:r>
    </w:p>
  </w:footnote>
  <w:footnote w:id="3">
    <w:p w14:paraId="27510691" w14:textId="77777777" w:rsidR="00B81985" w:rsidRDefault="00B81985" w:rsidP="00B81985">
      <w:pPr>
        <w:pStyle w:val="Allmrkusetekst"/>
      </w:pPr>
      <w:r>
        <w:rPr>
          <w:rStyle w:val="Allmrkuseviide"/>
        </w:rPr>
        <w:footnoteRef/>
      </w:r>
      <w:r>
        <w:t xml:space="preserve"> </w:t>
      </w:r>
      <w:hyperlink r:id="rId1" w:history="1">
        <w:r w:rsidRPr="00A9097E">
          <w:rPr>
            <w:rStyle w:val="Hperlink"/>
          </w:rPr>
          <w:t>https://windeurope.org/newsroom/press-releases/uk-awards-5-3-gw-of-new-offshore-wind-and-990-mw-of-new-onshore-wind/</w:t>
        </w:r>
      </w:hyperlink>
      <w:r>
        <w:t xml:space="preserve"> </w:t>
      </w:r>
    </w:p>
  </w:footnote>
  <w:footnote w:id="4">
    <w:p w14:paraId="4FDEB5E9" w14:textId="77777777" w:rsidR="0075300A" w:rsidRDefault="0075300A" w:rsidP="0075300A">
      <w:pPr>
        <w:pStyle w:val="Allmrkusetekst"/>
      </w:pPr>
      <w:r>
        <w:rPr>
          <w:rStyle w:val="Allmrkuseviide"/>
        </w:rPr>
        <w:footnoteRef/>
      </w:r>
      <w:r>
        <w:t xml:space="preserve"> </w:t>
      </w:r>
      <w:hyperlink r:id="rId2" w:history="1">
        <w:r w:rsidRPr="006A0198">
          <w:rPr>
            <w:rStyle w:val="Hperlink"/>
          </w:rPr>
          <w:t>https://ec.europa.eu/commission/presscorner/detail/en/IP_24_4567</w:t>
        </w:r>
      </w:hyperlink>
      <w:r>
        <w:t xml:space="preserve"> </w:t>
      </w:r>
    </w:p>
  </w:footnote>
  <w:footnote w:id="5">
    <w:p w14:paraId="2A43917D" w14:textId="77777777" w:rsidR="00FC2B8F" w:rsidRDefault="00FC2B8F" w:rsidP="00FC2B8F">
      <w:pPr>
        <w:pStyle w:val="Allmrkusetekst"/>
      </w:pPr>
      <w:r>
        <w:rPr>
          <w:rStyle w:val="Allmrkuseviide"/>
        </w:rPr>
        <w:footnoteRef/>
      </w:r>
      <w:r>
        <w:t xml:space="preserve"> RKHKo nr 3-20-19, p 18.</w:t>
      </w:r>
    </w:p>
  </w:footnote>
  <w:footnote w:id="6">
    <w:p w14:paraId="7D313B0D" w14:textId="77777777" w:rsidR="00FC2B8F" w:rsidRDefault="00FC2B8F" w:rsidP="00FC2B8F">
      <w:pPr>
        <w:pStyle w:val="Allmrkusetekst"/>
      </w:pPr>
      <w:r>
        <w:rPr>
          <w:rStyle w:val="Allmrkuseviide"/>
        </w:rPr>
        <w:footnoteRef/>
      </w:r>
      <w:r>
        <w:t xml:space="preserve"> </w:t>
      </w:r>
      <w:hyperlink r:id="rId3" w:history="1">
        <w:r w:rsidRPr="0078776B">
          <w:rPr>
            <w:rStyle w:val="Hperlink"/>
          </w:rPr>
          <w:t>https://eelnoud.valitsus.ee/main/mount/docList/f26d8568-3786-4f71-9c5c-56f03901b8de</w:t>
        </w:r>
      </w:hyperlink>
      <w:r>
        <w:t xml:space="preserve"> </w:t>
      </w:r>
    </w:p>
  </w:footnote>
  <w:footnote w:id="7">
    <w:p w14:paraId="64B36F56" w14:textId="77777777" w:rsidR="00FC2B8F" w:rsidRDefault="00FC2B8F" w:rsidP="00FC2B8F">
      <w:pPr>
        <w:pStyle w:val="Allmrkusetekst"/>
      </w:pPr>
      <w:r>
        <w:rPr>
          <w:rStyle w:val="Allmrkuseviide"/>
        </w:rPr>
        <w:footnoteRef/>
      </w:r>
      <w:r>
        <w:t xml:space="preserve"> </w:t>
      </w:r>
      <w:r w:rsidRPr="00BE4CF8">
        <w:t>RKHKo nr 3-20-19, p 1</w:t>
      </w:r>
      <w:r>
        <w:t>6.</w:t>
      </w:r>
    </w:p>
  </w:footnote>
  <w:footnote w:id="8">
    <w:p w14:paraId="52C31BC5" w14:textId="77777777" w:rsidR="00FC2B8F" w:rsidRPr="004D3BA5" w:rsidRDefault="00FC2B8F" w:rsidP="00FC2B8F">
      <w:pPr>
        <w:pStyle w:val="Allmrkusetekst"/>
        <w:jc w:val="both"/>
        <w:rPr>
          <w:b/>
          <w:bCs/>
        </w:rPr>
      </w:pPr>
      <w:r>
        <w:rPr>
          <w:rStyle w:val="Allmrkuseviide"/>
        </w:rPr>
        <w:footnoteRef/>
      </w:r>
      <w:r>
        <w:t xml:space="preserve"> PlanS § 125 lg 1 p 4 sätestab detailplaneeringu koostamise kohustuse </w:t>
      </w:r>
      <w:r w:rsidRPr="008E1D0E">
        <w:t xml:space="preserve">olulise ruumilise mõjuga ehitise </w:t>
      </w:r>
      <w:r>
        <w:t xml:space="preserve">(näiteks tuulepargi) </w:t>
      </w:r>
      <w:r w:rsidRPr="008E1D0E">
        <w:t xml:space="preserve">ehitamiseks, kui olulise ruumilise mõjuga ehitise asukoht on valitud </w:t>
      </w:r>
      <w:r>
        <w:t xml:space="preserve">üldplaneeringuga, </w:t>
      </w:r>
      <w:r w:rsidRPr="004D3BA5">
        <w:rPr>
          <w:b/>
          <w:bCs/>
        </w:rPr>
        <w:t xml:space="preserve">üksnes </w:t>
      </w:r>
      <w:r>
        <w:rPr>
          <w:b/>
          <w:bCs/>
        </w:rPr>
        <w:t>li</w:t>
      </w:r>
      <w:r w:rsidRPr="004D3BA5">
        <w:rPr>
          <w:b/>
          <w:bCs/>
        </w:rPr>
        <w:t>nnades kui asustusüksustes, alevites ja alevikes ning nendega piirnevas avalikus veekogus</w:t>
      </w:r>
      <w:r>
        <w:rPr>
          <w:b/>
          <w:bCs/>
        </w:rPr>
        <w:t>.</w:t>
      </w:r>
    </w:p>
  </w:footnote>
  <w:footnote w:id="9">
    <w:p w14:paraId="220D3321" w14:textId="77777777" w:rsidR="00FC2B8F" w:rsidRDefault="00FC2B8F" w:rsidP="00FC2B8F">
      <w:pPr>
        <w:pStyle w:val="Allmrkusetekst"/>
      </w:pPr>
      <w:r>
        <w:rPr>
          <w:rStyle w:val="Allmrkuseviide"/>
        </w:rPr>
        <w:footnoteRef/>
      </w:r>
      <w:r>
        <w:t xml:space="preserve"> </w:t>
      </w:r>
      <w:hyperlink r:id="rId4" w:history="1">
        <w:r w:rsidRPr="009A4199">
          <w:rPr>
            <w:rStyle w:val="Hperlink"/>
          </w:rPr>
          <w:t>https://planeerimine.ee/aktid-ja-kohtulahendid/orme-planeerimine/kas-valida-uldplaneering-voi-kohaliku-omavalitsuse-eriplaneering-kui-soovitakse-kavandada-olulise-ruumilise-mojuga-ehitist/</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4569"/>
    <w:multiLevelType w:val="multilevel"/>
    <w:tmpl w:val="3B22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D2B82"/>
    <w:multiLevelType w:val="multilevel"/>
    <w:tmpl w:val="9A7E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0307F"/>
    <w:multiLevelType w:val="multilevel"/>
    <w:tmpl w:val="7EBE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91EFE"/>
    <w:multiLevelType w:val="multilevel"/>
    <w:tmpl w:val="6D2E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473A7"/>
    <w:multiLevelType w:val="hybridMultilevel"/>
    <w:tmpl w:val="A9023648"/>
    <w:styleLink w:val="ImportedStyle1"/>
    <w:lvl w:ilvl="0" w:tplc="CC88138C">
      <w:start w:val="1"/>
      <w:numFmt w:val="bullet"/>
      <w:lvlText w:val="-"/>
      <w:lvlJc w:val="left"/>
      <w:pPr>
        <w:ind w:left="720" w:hanging="360"/>
      </w:pPr>
      <w:rPr>
        <w:rFonts w:ascii="Calibri" w:hAnsi="Calibri" w:hint="default"/>
      </w:rPr>
    </w:lvl>
    <w:lvl w:ilvl="1" w:tplc="4874F8BE">
      <w:start w:val="1"/>
      <w:numFmt w:val="bullet"/>
      <w:lvlText w:val="o"/>
      <w:lvlJc w:val="left"/>
      <w:pPr>
        <w:ind w:left="1440" w:hanging="360"/>
      </w:pPr>
      <w:rPr>
        <w:rFonts w:ascii="Courier New" w:hAnsi="Courier New" w:hint="default"/>
      </w:rPr>
    </w:lvl>
    <w:lvl w:ilvl="2" w:tplc="1AA81ED4">
      <w:start w:val="1"/>
      <w:numFmt w:val="bullet"/>
      <w:lvlText w:val=""/>
      <w:lvlJc w:val="left"/>
      <w:pPr>
        <w:ind w:left="2160" w:hanging="360"/>
      </w:pPr>
      <w:rPr>
        <w:rFonts w:ascii="Wingdings" w:hAnsi="Wingdings" w:hint="default"/>
      </w:rPr>
    </w:lvl>
    <w:lvl w:ilvl="3" w:tplc="FCFC191A">
      <w:start w:val="1"/>
      <w:numFmt w:val="bullet"/>
      <w:lvlText w:val=""/>
      <w:lvlJc w:val="left"/>
      <w:pPr>
        <w:ind w:left="2880" w:hanging="360"/>
      </w:pPr>
      <w:rPr>
        <w:rFonts w:ascii="Symbol" w:hAnsi="Symbol" w:hint="default"/>
      </w:rPr>
    </w:lvl>
    <w:lvl w:ilvl="4" w:tplc="5A644344">
      <w:start w:val="1"/>
      <w:numFmt w:val="bullet"/>
      <w:lvlText w:val="o"/>
      <w:lvlJc w:val="left"/>
      <w:pPr>
        <w:ind w:left="3600" w:hanging="360"/>
      </w:pPr>
      <w:rPr>
        <w:rFonts w:ascii="Courier New" w:hAnsi="Courier New" w:hint="default"/>
      </w:rPr>
    </w:lvl>
    <w:lvl w:ilvl="5" w:tplc="E7E246DC">
      <w:start w:val="1"/>
      <w:numFmt w:val="bullet"/>
      <w:lvlText w:val=""/>
      <w:lvlJc w:val="left"/>
      <w:pPr>
        <w:ind w:left="4320" w:hanging="360"/>
      </w:pPr>
      <w:rPr>
        <w:rFonts w:ascii="Wingdings" w:hAnsi="Wingdings" w:hint="default"/>
      </w:rPr>
    </w:lvl>
    <w:lvl w:ilvl="6" w:tplc="EBCE02F0">
      <w:start w:val="1"/>
      <w:numFmt w:val="bullet"/>
      <w:lvlText w:val=""/>
      <w:lvlJc w:val="left"/>
      <w:pPr>
        <w:ind w:left="5040" w:hanging="360"/>
      </w:pPr>
      <w:rPr>
        <w:rFonts w:ascii="Symbol" w:hAnsi="Symbol" w:hint="default"/>
      </w:rPr>
    </w:lvl>
    <w:lvl w:ilvl="7" w:tplc="101687FA">
      <w:start w:val="1"/>
      <w:numFmt w:val="bullet"/>
      <w:lvlText w:val="o"/>
      <w:lvlJc w:val="left"/>
      <w:pPr>
        <w:ind w:left="5760" w:hanging="360"/>
      </w:pPr>
      <w:rPr>
        <w:rFonts w:ascii="Courier New" w:hAnsi="Courier New" w:hint="default"/>
      </w:rPr>
    </w:lvl>
    <w:lvl w:ilvl="8" w:tplc="F1B2D2FC">
      <w:start w:val="1"/>
      <w:numFmt w:val="bullet"/>
      <w:lvlText w:val=""/>
      <w:lvlJc w:val="left"/>
      <w:pPr>
        <w:ind w:left="6480" w:hanging="360"/>
      </w:pPr>
      <w:rPr>
        <w:rFonts w:ascii="Wingdings" w:hAnsi="Wingdings" w:hint="default"/>
      </w:rPr>
    </w:lvl>
  </w:abstractNum>
  <w:abstractNum w:abstractNumId="5" w15:restartNumberingAfterBreak="0">
    <w:nsid w:val="1AD64870"/>
    <w:multiLevelType w:val="hybridMultilevel"/>
    <w:tmpl w:val="DA1A9A32"/>
    <w:lvl w:ilvl="0" w:tplc="5D1EE620">
      <w:start w:val="1"/>
      <w:numFmt w:val="decimal"/>
      <w:lvlText w:val="%1)"/>
      <w:lvlJc w:val="left"/>
      <w:pPr>
        <w:ind w:left="720" w:hanging="360"/>
      </w:pPr>
      <w:rPr>
        <w:rFonts w:ascii="Segoe UI" w:hAnsi="Segoe UI" w:cs="Segoe UI"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CD4E58"/>
    <w:multiLevelType w:val="hybridMultilevel"/>
    <w:tmpl w:val="C5F864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180D69"/>
    <w:multiLevelType w:val="hybridMultilevel"/>
    <w:tmpl w:val="8F567AFE"/>
    <w:lvl w:ilvl="0" w:tplc="DFA43752">
      <w:start w:val="1"/>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8950831"/>
    <w:multiLevelType w:val="multilevel"/>
    <w:tmpl w:val="314C9BF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502"/>
        </w:tabs>
        <w:ind w:left="502"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C65DB6"/>
    <w:multiLevelType w:val="multilevel"/>
    <w:tmpl w:val="A2867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33E2E"/>
    <w:multiLevelType w:val="hybridMultilevel"/>
    <w:tmpl w:val="F32687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5AB312E"/>
    <w:multiLevelType w:val="hybridMultilevel"/>
    <w:tmpl w:val="094A9A00"/>
    <w:lvl w:ilvl="0" w:tplc="659A19F8">
      <w:start w:val="1"/>
      <w:numFmt w:val="lowerLetter"/>
      <w:lvlText w:val="(%1)"/>
      <w:lvlJc w:val="left"/>
      <w:pPr>
        <w:ind w:left="720" w:hanging="360"/>
      </w:pPr>
      <w:rPr>
        <w:rFonts w:hint="default"/>
        <w:i w:val="0"/>
        <w:i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8682D04"/>
    <w:multiLevelType w:val="multilevel"/>
    <w:tmpl w:val="3A18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24410"/>
    <w:multiLevelType w:val="multilevel"/>
    <w:tmpl w:val="F1E222D2"/>
    <w:lvl w:ilvl="0">
      <w:start w:val="1"/>
      <w:numFmt w:val="decimal"/>
      <w:lvlText w:val="%1."/>
      <w:lvlJc w:val="left"/>
      <w:pPr>
        <w:ind w:left="720" w:hanging="360"/>
      </w:pPr>
      <w:rPr>
        <w:rFonts w:hint="default"/>
        <w:b/>
        <w:bCs/>
      </w:rPr>
    </w:lvl>
    <w:lvl w:ilvl="1">
      <w:start w:val="1"/>
      <w:numFmt w:val="decimal"/>
      <w:isLgl/>
      <w:lvlText w:val="%1.%2."/>
      <w:lvlJc w:val="left"/>
      <w:pPr>
        <w:ind w:left="502"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0D276ED"/>
    <w:multiLevelType w:val="multilevel"/>
    <w:tmpl w:val="6378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C05941"/>
    <w:multiLevelType w:val="hybridMultilevel"/>
    <w:tmpl w:val="23EA53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B831960"/>
    <w:multiLevelType w:val="multilevel"/>
    <w:tmpl w:val="F1E222D2"/>
    <w:lvl w:ilvl="0">
      <w:start w:val="1"/>
      <w:numFmt w:val="decimal"/>
      <w:lvlText w:val="%1."/>
      <w:lvlJc w:val="left"/>
      <w:pPr>
        <w:ind w:left="720" w:hanging="360"/>
      </w:pPr>
      <w:rPr>
        <w:rFonts w:hint="default"/>
        <w:b/>
        <w:bCs/>
      </w:rPr>
    </w:lvl>
    <w:lvl w:ilvl="1">
      <w:start w:val="1"/>
      <w:numFmt w:val="decimal"/>
      <w:isLgl/>
      <w:lvlText w:val="%1.%2."/>
      <w:lvlJc w:val="left"/>
      <w:pPr>
        <w:ind w:left="502"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AB677A5"/>
    <w:multiLevelType w:val="hybridMultilevel"/>
    <w:tmpl w:val="A6FA475E"/>
    <w:lvl w:ilvl="0" w:tplc="71FAF036">
      <w:start w:val="1"/>
      <w:numFmt w:val="decimal"/>
      <w:lvlText w:val="%1)"/>
      <w:lvlJc w:val="left"/>
      <w:pPr>
        <w:ind w:left="720" w:hanging="360"/>
      </w:pPr>
    </w:lvl>
    <w:lvl w:ilvl="1" w:tplc="CCF46078">
      <w:start w:val="1"/>
      <w:numFmt w:val="lowerLetter"/>
      <w:lvlText w:val="%2."/>
      <w:lvlJc w:val="left"/>
      <w:pPr>
        <w:ind w:left="1440" w:hanging="360"/>
      </w:pPr>
    </w:lvl>
    <w:lvl w:ilvl="2" w:tplc="673CD81E">
      <w:start w:val="1"/>
      <w:numFmt w:val="lowerRoman"/>
      <w:lvlText w:val="%3."/>
      <w:lvlJc w:val="right"/>
      <w:pPr>
        <w:ind w:left="2160" w:hanging="180"/>
      </w:pPr>
    </w:lvl>
    <w:lvl w:ilvl="3" w:tplc="A236773A">
      <w:start w:val="1"/>
      <w:numFmt w:val="decimal"/>
      <w:lvlText w:val="%4."/>
      <w:lvlJc w:val="left"/>
      <w:pPr>
        <w:ind w:left="2880" w:hanging="360"/>
      </w:pPr>
    </w:lvl>
    <w:lvl w:ilvl="4" w:tplc="4F8C3B3E">
      <w:start w:val="1"/>
      <w:numFmt w:val="lowerLetter"/>
      <w:lvlText w:val="%5."/>
      <w:lvlJc w:val="left"/>
      <w:pPr>
        <w:ind w:left="3600" w:hanging="360"/>
      </w:pPr>
    </w:lvl>
    <w:lvl w:ilvl="5" w:tplc="24D67666">
      <w:start w:val="1"/>
      <w:numFmt w:val="lowerRoman"/>
      <w:lvlText w:val="%6."/>
      <w:lvlJc w:val="right"/>
      <w:pPr>
        <w:ind w:left="4320" w:hanging="180"/>
      </w:pPr>
    </w:lvl>
    <w:lvl w:ilvl="6" w:tplc="8DF80146">
      <w:start w:val="1"/>
      <w:numFmt w:val="decimal"/>
      <w:lvlText w:val="%7."/>
      <w:lvlJc w:val="left"/>
      <w:pPr>
        <w:ind w:left="5040" w:hanging="360"/>
      </w:pPr>
    </w:lvl>
    <w:lvl w:ilvl="7" w:tplc="2D847D80">
      <w:start w:val="1"/>
      <w:numFmt w:val="lowerLetter"/>
      <w:lvlText w:val="%8."/>
      <w:lvlJc w:val="left"/>
      <w:pPr>
        <w:ind w:left="5760" w:hanging="360"/>
      </w:pPr>
    </w:lvl>
    <w:lvl w:ilvl="8" w:tplc="2826BC74">
      <w:start w:val="1"/>
      <w:numFmt w:val="lowerRoman"/>
      <w:lvlText w:val="%9."/>
      <w:lvlJc w:val="right"/>
      <w:pPr>
        <w:ind w:left="6480" w:hanging="180"/>
      </w:pPr>
    </w:lvl>
  </w:abstractNum>
  <w:abstractNum w:abstractNumId="18" w15:restartNumberingAfterBreak="0">
    <w:nsid w:val="5AF40219"/>
    <w:multiLevelType w:val="multilevel"/>
    <w:tmpl w:val="49E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B473E2"/>
    <w:multiLevelType w:val="hybridMultilevel"/>
    <w:tmpl w:val="B8E26200"/>
    <w:lvl w:ilvl="0" w:tplc="73F618FA">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77A0469"/>
    <w:multiLevelType w:val="hybridMultilevel"/>
    <w:tmpl w:val="FA4E3EF0"/>
    <w:lvl w:ilvl="0" w:tplc="719269CA">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E96010"/>
    <w:multiLevelType w:val="multilevel"/>
    <w:tmpl w:val="164A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563509"/>
    <w:multiLevelType w:val="multilevel"/>
    <w:tmpl w:val="C326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825BA6"/>
    <w:multiLevelType w:val="multilevel"/>
    <w:tmpl w:val="6B0A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576E35"/>
    <w:multiLevelType w:val="multilevel"/>
    <w:tmpl w:val="5D50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3D7104"/>
    <w:multiLevelType w:val="multilevel"/>
    <w:tmpl w:val="C6F2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D06709"/>
    <w:multiLevelType w:val="hybridMultilevel"/>
    <w:tmpl w:val="C5F8645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DD40F2D"/>
    <w:multiLevelType w:val="hybridMultilevel"/>
    <w:tmpl w:val="ACC80AB2"/>
    <w:lvl w:ilvl="0" w:tplc="03E6CD8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302776325">
    <w:abstractNumId w:val="4"/>
  </w:num>
  <w:num w:numId="2" w16cid:durableId="537859890">
    <w:abstractNumId w:val="13"/>
  </w:num>
  <w:num w:numId="3" w16cid:durableId="349648590">
    <w:abstractNumId w:val="19"/>
  </w:num>
  <w:num w:numId="4" w16cid:durableId="1351878745">
    <w:abstractNumId w:val="20"/>
  </w:num>
  <w:num w:numId="5" w16cid:durableId="1993947375">
    <w:abstractNumId w:val="7"/>
  </w:num>
  <w:num w:numId="6" w16cid:durableId="108209324">
    <w:abstractNumId w:val="27"/>
  </w:num>
  <w:num w:numId="7" w16cid:durableId="506948914">
    <w:abstractNumId w:val="16"/>
  </w:num>
  <w:num w:numId="8" w16cid:durableId="1820531227">
    <w:abstractNumId w:val="11"/>
  </w:num>
  <w:num w:numId="9" w16cid:durableId="355543950">
    <w:abstractNumId w:val="8"/>
  </w:num>
  <w:num w:numId="10" w16cid:durableId="675574117">
    <w:abstractNumId w:val="10"/>
  </w:num>
  <w:num w:numId="11" w16cid:durableId="2130514301">
    <w:abstractNumId w:val="15"/>
  </w:num>
  <w:num w:numId="12" w16cid:durableId="1366713179">
    <w:abstractNumId w:val="26"/>
  </w:num>
  <w:num w:numId="13" w16cid:durableId="1215122782">
    <w:abstractNumId w:val="6"/>
  </w:num>
  <w:num w:numId="14" w16cid:durableId="1358851821">
    <w:abstractNumId w:val="22"/>
  </w:num>
  <w:num w:numId="15" w16cid:durableId="1525678603">
    <w:abstractNumId w:val="18"/>
  </w:num>
  <w:num w:numId="16" w16cid:durableId="201477195">
    <w:abstractNumId w:val="1"/>
  </w:num>
  <w:num w:numId="17" w16cid:durableId="1467816345">
    <w:abstractNumId w:val="2"/>
  </w:num>
  <w:num w:numId="18" w16cid:durableId="1486704378">
    <w:abstractNumId w:val="14"/>
  </w:num>
  <w:num w:numId="19" w16cid:durableId="384764284">
    <w:abstractNumId w:val="3"/>
  </w:num>
  <w:num w:numId="20" w16cid:durableId="1853912998">
    <w:abstractNumId w:val="0"/>
  </w:num>
  <w:num w:numId="21" w16cid:durableId="447815565">
    <w:abstractNumId w:val="25"/>
  </w:num>
  <w:num w:numId="22" w16cid:durableId="101339110">
    <w:abstractNumId w:val="21"/>
  </w:num>
  <w:num w:numId="23" w16cid:durableId="1914310998">
    <w:abstractNumId w:val="24"/>
  </w:num>
  <w:num w:numId="24" w16cid:durableId="1278298758">
    <w:abstractNumId w:val="9"/>
  </w:num>
  <w:num w:numId="25" w16cid:durableId="1674602622">
    <w:abstractNumId w:val="12"/>
  </w:num>
  <w:num w:numId="26" w16cid:durableId="2058233604">
    <w:abstractNumId w:val="23"/>
  </w:num>
  <w:num w:numId="27" w16cid:durableId="716931061">
    <w:abstractNumId w:val="17"/>
  </w:num>
  <w:num w:numId="28" w16cid:durableId="197363060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55"/>
    <w:rsid w:val="000038FA"/>
    <w:rsid w:val="00004361"/>
    <w:rsid w:val="000044C0"/>
    <w:rsid w:val="00004743"/>
    <w:rsid w:val="000054B6"/>
    <w:rsid w:val="00005E2C"/>
    <w:rsid w:val="00005ECE"/>
    <w:rsid w:val="00007C78"/>
    <w:rsid w:val="00011367"/>
    <w:rsid w:val="00012AA0"/>
    <w:rsid w:val="00012B27"/>
    <w:rsid w:val="00012E24"/>
    <w:rsid w:val="0001353C"/>
    <w:rsid w:val="00013F40"/>
    <w:rsid w:val="000152A2"/>
    <w:rsid w:val="00015630"/>
    <w:rsid w:val="0001760A"/>
    <w:rsid w:val="00017A4F"/>
    <w:rsid w:val="00017FE4"/>
    <w:rsid w:val="00021F42"/>
    <w:rsid w:val="000225D0"/>
    <w:rsid w:val="00023543"/>
    <w:rsid w:val="00023BE1"/>
    <w:rsid w:val="00025336"/>
    <w:rsid w:val="00025CD1"/>
    <w:rsid w:val="00025F15"/>
    <w:rsid w:val="0002706A"/>
    <w:rsid w:val="000276AA"/>
    <w:rsid w:val="000314D3"/>
    <w:rsid w:val="00031685"/>
    <w:rsid w:val="0003302B"/>
    <w:rsid w:val="00033770"/>
    <w:rsid w:val="00036BC0"/>
    <w:rsid w:val="00040FC7"/>
    <w:rsid w:val="00041EF5"/>
    <w:rsid w:val="000445D6"/>
    <w:rsid w:val="00050B5F"/>
    <w:rsid w:val="000516DB"/>
    <w:rsid w:val="000521B8"/>
    <w:rsid w:val="00052840"/>
    <w:rsid w:val="00052B07"/>
    <w:rsid w:val="000534AA"/>
    <w:rsid w:val="00053C4C"/>
    <w:rsid w:val="0005451F"/>
    <w:rsid w:val="00054701"/>
    <w:rsid w:val="000551CB"/>
    <w:rsid w:val="00057324"/>
    <w:rsid w:val="00057C90"/>
    <w:rsid w:val="0006017D"/>
    <w:rsid w:val="00062090"/>
    <w:rsid w:val="00062CC7"/>
    <w:rsid w:val="00063863"/>
    <w:rsid w:val="00064CB4"/>
    <w:rsid w:val="000653A4"/>
    <w:rsid w:val="00065C58"/>
    <w:rsid w:val="000665CF"/>
    <w:rsid w:val="000672C8"/>
    <w:rsid w:val="00070588"/>
    <w:rsid w:val="0007217A"/>
    <w:rsid w:val="000724EF"/>
    <w:rsid w:val="000725CE"/>
    <w:rsid w:val="00072F21"/>
    <w:rsid w:val="00074EFE"/>
    <w:rsid w:val="000753DA"/>
    <w:rsid w:val="0007691C"/>
    <w:rsid w:val="000772A6"/>
    <w:rsid w:val="00077509"/>
    <w:rsid w:val="00077A5D"/>
    <w:rsid w:val="0008128D"/>
    <w:rsid w:val="00081624"/>
    <w:rsid w:val="00081902"/>
    <w:rsid w:val="00086A26"/>
    <w:rsid w:val="00093192"/>
    <w:rsid w:val="00093CEE"/>
    <w:rsid w:val="00094D0F"/>
    <w:rsid w:val="00095F3A"/>
    <w:rsid w:val="000A081A"/>
    <w:rsid w:val="000A0E0E"/>
    <w:rsid w:val="000A23EC"/>
    <w:rsid w:val="000A2D2C"/>
    <w:rsid w:val="000A3579"/>
    <w:rsid w:val="000A3706"/>
    <w:rsid w:val="000A4031"/>
    <w:rsid w:val="000A5CE9"/>
    <w:rsid w:val="000A63EC"/>
    <w:rsid w:val="000A69C8"/>
    <w:rsid w:val="000A6A32"/>
    <w:rsid w:val="000A6DBE"/>
    <w:rsid w:val="000A74BF"/>
    <w:rsid w:val="000B1050"/>
    <w:rsid w:val="000B11A9"/>
    <w:rsid w:val="000B1950"/>
    <w:rsid w:val="000B36FF"/>
    <w:rsid w:val="000B3DD3"/>
    <w:rsid w:val="000B4A4E"/>
    <w:rsid w:val="000B6BD9"/>
    <w:rsid w:val="000B7EEA"/>
    <w:rsid w:val="000C0705"/>
    <w:rsid w:val="000C0C26"/>
    <w:rsid w:val="000C2AA8"/>
    <w:rsid w:val="000C3846"/>
    <w:rsid w:val="000C399A"/>
    <w:rsid w:val="000C4310"/>
    <w:rsid w:val="000C43C7"/>
    <w:rsid w:val="000C45FA"/>
    <w:rsid w:val="000C5105"/>
    <w:rsid w:val="000C532A"/>
    <w:rsid w:val="000C581A"/>
    <w:rsid w:val="000C64FC"/>
    <w:rsid w:val="000D08C6"/>
    <w:rsid w:val="000D1734"/>
    <w:rsid w:val="000D23E6"/>
    <w:rsid w:val="000D3B64"/>
    <w:rsid w:val="000D3C71"/>
    <w:rsid w:val="000D44D0"/>
    <w:rsid w:val="000D5DB5"/>
    <w:rsid w:val="000D6666"/>
    <w:rsid w:val="000D72C2"/>
    <w:rsid w:val="000D7461"/>
    <w:rsid w:val="000E04E1"/>
    <w:rsid w:val="000E0A68"/>
    <w:rsid w:val="000E10ED"/>
    <w:rsid w:val="000E118B"/>
    <w:rsid w:val="000E24A0"/>
    <w:rsid w:val="000E28C9"/>
    <w:rsid w:val="000E61F6"/>
    <w:rsid w:val="000E65B8"/>
    <w:rsid w:val="000E68E7"/>
    <w:rsid w:val="000E6D75"/>
    <w:rsid w:val="000F14EA"/>
    <w:rsid w:val="000F21BC"/>
    <w:rsid w:val="000F26CA"/>
    <w:rsid w:val="000F298E"/>
    <w:rsid w:val="000F33E2"/>
    <w:rsid w:val="000F46D6"/>
    <w:rsid w:val="000F4773"/>
    <w:rsid w:val="000F58D9"/>
    <w:rsid w:val="000F61E7"/>
    <w:rsid w:val="000F7B5B"/>
    <w:rsid w:val="00100042"/>
    <w:rsid w:val="0010042B"/>
    <w:rsid w:val="001007D1"/>
    <w:rsid w:val="001009FD"/>
    <w:rsid w:val="001013FB"/>
    <w:rsid w:val="001019C2"/>
    <w:rsid w:val="00103705"/>
    <w:rsid w:val="00104AA1"/>
    <w:rsid w:val="00111247"/>
    <w:rsid w:val="00111E9A"/>
    <w:rsid w:val="001127ED"/>
    <w:rsid w:val="00112E4E"/>
    <w:rsid w:val="00114159"/>
    <w:rsid w:val="00115E7B"/>
    <w:rsid w:val="00116197"/>
    <w:rsid w:val="00116C17"/>
    <w:rsid w:val="00117175"/>
    <w:rsid w:val="001207D2"/>
    <w:rsid w:val="0012094A"/>
    <w:rsid w:val="00120BC9"/>
    <w:rsid w:val="00120E58"/>
    <w:rsid w:val="00122D59"/>
    <w:rsid w:val="0012327B"/>
    <w:rsid w:val="00123A0C"/>
    <w:rsid w:val="00123EAA"/>
    <w:rsid w:val="00123F9F"/>
    <w:rsid w:val="001244E1"/>
    <w:rsid w:val="001249F3"/>
    <w:rsid w:val="00126079"/>
    <w:rsid w:val="001274F2"/>
    <w:rsid w:val="001279D9"/>
    <w:rsid w:val="00130DB9"/>
    <w:rsid w:val="00131914"/>
    <w:rsid w:val="00133085"/>
    <w:rsid w:val="00134198"/>
    <w:rsid w:val="00135FC9"/>
    <w:rsid w:val="00137359"/>
    <w:rsid w:val="00137F0B"/>
    <w:rsid w:val="001415FF"/>
    <w:rsid w:val="00141B5C"/>
    <w:rsid w:val="0014230E"/>
    <w:rsid w:val="001447F6"/>
    <w:rsid w:val="00144FCD"/>
    <w:rsid w:val="0014552D"/>
    <w:rsid w:val="0014677B"/>
    <w:rsid w:val="001470DE"/>
    <w:rsid w:val="00151F52"/>
    <w:rsid w:val="00152B7E"/>
    <w:rsid w:val="00153228"/>
    <w:rsid w:val="0015379F"/>
    <w:rsid w:val="00154CDF"/>
    <w:rsid w:val="00154E18"/>
    <w:rsid w:val="00154F13"/>
    <w:rsid w:val="00154F9D"/>
    <w:rsid w:val="001573EF"/>
    <w:rsid w:val="0015744B"/>
    <w:rsid w:val="00157BC0"/>
    <w:rsid w:val="001604E2"/>
    <w:rsid w:val="00161C03"/>
    <w:rsid w:val="0016307D"/>
    <w:rsid w:val="00163B5F"/>
    <w:rsid w:val="00164B94"/>
    <w:rsid w:val="001653BF"/>
    <w:rsid w:val="00165546"/>
    <w:rsid w:val="00166B31"/>
    <w:rsid w:val="00166B55"/>
    <w:rsid w:val="001675B8"/>
    <w:rsid w:val="00167901"/>
    <w:rsid w:val="00170358"/>
    <w:rsid w:val="00170A65"/>
    <w:rsid w:val="00170D81"/>
    <w:rsid w:val="00170EF0"/>
    <w:rsid w:val="001710E9"/>
    <w:rsid w:val="0017127C"/>
    <w:rsid w:val="001762CC"/>
    <w:rsid w:val="0017654D"/>
    <w:rsid w:val="00176F00"/>
    <w:rsid w:val="00180019"/>
    <w:rsid w:val="00180811"/>
    <w:rsid w:val="00180A2F"/>
    <w:rsid w:val="00182480"/>
    <w:rsid w:val="00182B8B"/>
    <w:rsid w:val="00183D65"/>
    <w:rsid w:val="00183D6B"/>
    <w:rsid w:val="0018449D"/>
    <w:rsid w:val="00184A43"/>
    <w:rsid w:val="0018550B"/>
    <w:rsid w:val="001862C5"/>
    <w:rsid w:val="00186B6B"/>
    <w:rsid w:val="00187A93"/>
    <w:rsid w:val="00187B59"/>
    <w:rsid w:val="001903E9"/>
    <w:rsid w:val="00192169"/>
    <w:rsid w:val="0019469F"/>
    <w:rsid w:val="001946D0"/>
    <w:rsid w:val="00194CF7"/>
    <w:rsid w:val="0019547C"/>
    <w:rsid w:val="0019559F"/>
    <w:rsid w:val="00195753"/>
    <w:rsid w:val="001967C3"/>
    <w:rsid w:val="00196A04"/>
    <w:rsid w:val="00196DAE"/>
    <w:rsid w:val="001A0321"/>
    <w:rsid w:val="001A1208"/>
    <w:rsid w:val="001A1A4A"/>
    <w:rsid w:val="001A1D60"/>
    <w:rsid w:val="001A21AF"/>
    <w:rsid w:val="001A3513"/>
    <w:rsid w:val="001A3BB1"/>
    <w:rsid w:val="001A5704"/>
    <w:rsid w:val="001A5CFF"/>
    <w:rsid w:val="001A7C39"/>
    <w:rsid w:val="001B06B8"/>
    <w:rsid w:val="001B07FB"/>
    <w:rsid w:val="001B2086"/>
    <w:rsid w:val="001B378F"/>
    <w:rsid w:val="001B408D"/>
    <w:rsid w:val="001B4129"/>
    <w:rsid w:val="001B4BB6"/>
    <w:rsid w:val="001B681D"/>
    <w:rsid w:val="001B69BA"/>
    <w:rsid w:val="001B752E"/>
    <w:rsid w:val="001B7561"/>
    <w:rsid w:val="001B7DD4"/>
    <w:rsid w:val="001C23F1"/>
    <w:rsid w:val="001C41A6"/>
    <w:rsid w:val="001C4890"/>
    <w:rsid w:val="001C48E4"/>
    <w:rsid w:val="001C53E0"/>
    <w:rsid w:val="001C5D21"/>
    <w:rsid w:val="001C65DA"/>
    <w:rsid w:val="001C6B07"/>
    <w:rsid w:val="001C7387"/>
    <w:rsid w:val="001C7391"/>
    <w:rsid w:val="001C73F6"/>
    <w:rsid w:val="001C7BA6"/>
    <w:rsid w:val="001D05B0"/>
    <w:rsid w:val="001D0C87"/>
    <w:rsid w:val="001D0FD2"/>
    <w:rsid w:val="001D3109"/>
    <w:rsid w:val="001D41AF"/>
    <w:rsid w:val="001D5181"/>
    <w:rsid w:val="001D54EF"/>
    <w:rsid w:val="001D5EF3"/>
    <w:rsid w:val="001D6455"/>
    <w:rsid w:val="001D6E59"/>
    <w:rsid w:val="001D7ABD"/>
    <w:rsid w:val="001D7FAA"/>
    <w:rsid w:val="001E06E3"/>
    <w:rsid w:val="001E1081"/>
    <w:rsid w:val="001E1E7D"/>
    <w:rsid w:val="001E2B6A"/>
    <w:rsid w:val="001E2B7A"/>
    <w:rsid w:val="001E4E10"/>
    <w:rsid w:val="001E4FAC"/>
    <w:rsid w:val="001E61C6"/>
    <w:rsid w:val="001E74FC"/>
    <w:rsid w:val="001F13F7"/>
    <w:rsid w:val="001F1F25"/>
    <w:rsid w:val="001F2E23"/>
    <w:rsid w:val="001F327C"/>
    <w:rsid w:val="001F6CC6"/>
    <w:rsid w:val="001F7476"/>
    <w:rsid w:val="00200F3A"/>
    <w:rsid w:val="00200FF7"/>
    <w:rsid w:val="002013A0"/>
    <w:rsid w:val="00203DFC"/>
    <w:rsid w:val="00203EAB"/>
    <w:rsid w:val="00205BFB"/>
    <w:rsid w:val="00205F3C"/>
    <w:rsid w:val="002135DF"/>
    <w:rsid w:val="00213796"/>
    <w:rsid w:val="00216B02"/>
    <w:rsid w:val="00220816"/>
    <w:rsid w:val="00221302"/>
    <w:rsid w:val="00222E55"/>
    <w:rsid w:val="002238DA"/>
    <w:rsid w:val="00223F4F"/>
    <w:rsid w:val="00224BDC"/>
    <w:rsid w:val="002270D7"/>
    <w:rsid w:val="00230F42"/>
    <w:rsid w:val="00231144"/>
    <w:rsid w:val="00231206"/>
    <w:rsid w:val="00231342"/>
    <w:rsid w:val="00231AA6"/>
    <w:rsid w:val="0023601C"/>
    <w:rsid w:val="00237B95"/>
    <w:rsid w:val="00242F0C"/>
    <w:rsid w:val="00243813"/>
    <w:rsid w:val="00244AC1"/>
    <w:rsid w:val="00244BE3"/>
    <w:rsid w:val="00246EB2"/>
    <w:rsid w:val="002501AD"/>
    <w:rsid w:val="00250C45"/>
    <w:rsid w:val="00254A08"/>
    <w:rsid w:val="002557DE"/>
    <w:rsid w:val="00257B8F"/>
    <w:rsid w:val="002619D6"/>
    <w:rsid w:val="0026254F"/>
    <w:rsid w:val="00262C2A"/>
    <w:rsid w:val="00264437"/>
    <w:rsid w:val="00270605"/>
    <w:rsid w:val="00270A7A"/>
    <w:rsid w:val="00270EFA"/>
    <w:rsid w:val="00271D24"/>
    <w:rsid w:val="00273A8D"/>
    <w:rsid w:val="00276A33"/>
    <w:rsid w:val="00277BF7"/>
    <w:rsid w:val="00281203"/>
    <w:rsid w:val="00284387"/>
    <w:rsid w:val="00285F16"/>
    <w:rsid w:val="002873B0"/>
    <w:rsid w:val="00290F15"/>
    <w:rsid w:val="00292EAE"/>
    <w:rsid w:val="00292F8D"/>
    <w:rsid w:val="00293160"/>
    <w:rsid w:val="002949D8"/>
    <w:rsid w:val="0029748F"/>
    <w:rsid w:val="00297E28"/>
    <w:rsid w:val="002A20D5"/>
    <w:rsid w:val="002A2329"/>
    <w:rsid w:val="002A305C"/>
    <w:rsid w:val="002A3445"/>
    <w:rsid w:val="002A3727"/>
    <w:rsid w:val="002A3F12"/>
    <w:rsid w:val="002A473C"/>
    <w:rsid w:val="002A6158"/>
    <w:rsid w:val="002A6534"/>
    <w:rsid w:val="002A6A9F"/>
    <w:rsid w:val="002A741A"/>
    <w:rsid w:val="002A7E99"/>
    <w:rsid w:val="002B1A44"/>
    <w:rsid w:val="002B216D"/>
    <w:rsid w:val="002B363A"/>
    <w:rsid w:val="002B466B"/>
    <w:rsid w:val="002B5AE4"/>
    <w:rsid w:val="002B5D8F"/>
    <w:rsid w:val="002B631B"/>
    <w:rsid w:val="002C000A"/>
    <w:rsid w:val="002C1E2B"/>
    <w:rsid w:val="002C24BA"/>
    <w:rsid w:val="002C367C"/>
    <w:rsid w:val="002C3E54"/>
    <w:rsid w:val="002C4A9A"/>
    <w:rsid w:val="002C504A"/>
    <w:rsid w:val="002C5923"/>
    <w:rsid w:val="002C6B2B"/>
    <w:rsid w:val="002D06A5"/>
    <w:rsid w:val="002D1502"/>
    <w:rsid w:val="002D16A1"/>
    <w:rsid w:val="002D2C72"/>
    <w:rsid w:val="002D38C8"/>
    <w:rsid w:val="002D4C7C"/>
    <w:rsid w:val="002D66EF"/>
    <w:rsid w:val="002D768E"/>
    <w:rsid w:val="002D77D4"/>
    <w:rsid w:val="002E1296"/>
    <w:rsid w:val="002E2350"/>
    <w:rsid w:val="002E3192"/>
    <w:rsid w:val="002E434D"/>
    <w:rsid w:val="002E5529"/>
    <w:rsid w:val="002E7C5F"/>
    <w:rsid w:val="002F027D"/>
    <w:rsid w:val="002F0536"/>
    <w:rsid w:val="002F0FA7"/>
    <w:rsid w:val="002F11AA"/>
    <w:rsid w:val="002F172A"/>
    <w:rsid w:val="002F21F2"/>
    <w:rsid w:val="002F26CD"/>
    <w:rsid w:val="002F27CC"/>
    <w:rsid w:val="002F28FF"/>
    <w:rsid w:val="002F3146"/>
    <w:rsid w:val="002F36E4"/>
    <w:rsid w:val="002F3797"/>
    <w:rsid w:val="002F47A1"/>
    <w:rsid w:val="002F4FCE"/>
    <w:rsid w:val="002F526C"/>
    <w:rsid w:val="002F6B66"/>
    <w:rsid w:val="002F78AA"/>
    <w:rsid w:val="00301A0A"/>
    <w:rsid w:val="00301A2A"/>
    <w:rsid w:val="00302A3E"/>
    <w:rsid w:val="00302EFB"/>
    <w:rsid w:val="00304324"/>
    <w:rsid w:val="003046ED"/>
    <w:rsid w:val="00304893"/>
    <w:rsid w:val="0031012F"/>
    <w:rsid w:val="0031109B"/>
    <w:rsid w:val="00311950"/>
    <w:rsid w:val="00314EEC"/>
    <w:rsid w:val="00315165"/>
    <w:rsid w:val="00316213"/>
    <w:rsid w:val="00317338"/>
    <w:rsid w:val="003179FE"/>
    <w:rsid w:val="00317AF3"/>
    <w:rsid w:val="0032065F"/>
    <w:rsid w:val="00321A64"/>
    <w:rsid w:val="00321A86"/>
    <w:rsid w:val="003229F8"/>
    <w:rsid w:val="00322DD8"/>
    <w:rsid w:val="003233EC"/>
    <w:rsid w:val="00323715"/>
    <w:rsid w:val="0032449B"/>
    <w:rsid w:val="00325E5F"/>
    <w:rsid w:val="0032628A"/>
    <w:rsid w:val="00330D7B"/>
    <w:rsid w:val="003365EE"/>
    <w:rsid w:val="003405AD"/>
    <w:rsid w:val="00340C60"/>
    <w:rsid w:val="00341873"/>
    <w:rsid w:val="00345CD9"/>
    <w:rsid w:val="003462DD"/>
    <w:rsid w:val="0034724C"/>
    <w:rsid w:val="00350151"/>
    <w:rsid w:val="00350FEB"/>
    <w:rsid w:val="0035158D"/>
    <w:rsid w:val="00351E2A"/>
    <w:rsid w:val="00354138"/>
    <w:rsid w:val="00354B35"/>
    <w:rsid w:val="003550AF"/>
    <w:rsid w:val="00355E18"/>
    <w:rsid w:val="00357E18"/>
    <w:rsid w:val="003601E5"/>
    <w:rsid w:val="00360239"/>
    <w:rsid w:val="003614C5"/>
    <w:rsid w:val="003620C4"/>
    <w:rsid w:val="00364E5A"/>
    <w:rsid w:val="003672C2"/>
    <w:rsid w:val="003677E3"/>
    <w:rsid w:val="00367C7D"/>
    <w:rsid w:val="003707DA"/>
    <w:rsid w:val="003737E6"/>
    <w:rsid w:val="0037401E"/>
    <w:rsid w:val="00375A28"/>
    <w:rsid w:val="00375E77"/>
    <w:rsid w:val="0037683B"/>
    <w:rsid w:val="00377865"/>
    <w:rsid w:val="00380358"/>
    <w:rsid w:val="003809D8"/>
    <w:rsid w:val="0038109E"/>
    <w:rsid w:val="00382793"/>
    <w:rsid w:val="00382BEB"/>
    <w:rsid w:val="0038587F"/>
    <w:rsid w:val="00385FBB"/>
    <w:rsid w:val="00387D99"/>
    <w:rsid w:val="00390431"/>
    <w:rsid w:val="00390557"/>
    <w:rsid w:val="00390EBF"/>
    <w:rsid w:val="00392344"/>
    <w:rsid w:val="0039367F"/>
    <w:rsid w:val="00393B8F"/>
    <w:rsid w:val="003951C5"/>
    <w:rsid w:val="0039544B"/>
    <w:rsid w:val="00397894"/>
    <w:rsid w:val="003A1A94"/>
    <w:rsid w:val="003A274D"/>
    <w:rsid w:val="003A2798"/>
    <w:rsid w:val="003A33AB"/>
    <w:rsid w:val="003A3991"/>
    <w:rsid w:val="003A3BCE"/>
    <w:rsid w:val="003A457E"/>
    <w:rsid w:val="003A45AE"/>
    <w:rsid w:val="003A4DD3"/>
    <w:rsid w:val="003A58B1"/>
    <w:rsid w:val="003A5EAC"/>
    <w:rsid w:val="003A5FBA"/>
    <w:rsid w:val="003A6452"/>
    <w:rsid w:val="003B0748"/>
    <w:rsid w:val="003B0837"/>
    <w:rsid w:val="003B0B5F"/>
    <w:rsid w:val="003B1C41"/>
    <w:rsid w:val="003B2A45"/>
    <w:rsid w:val="003B3A5A"/>
    <w:rsid w:val="003B4D89"/>
    <w:rsid w:val="003B6406"/>
    <w:rsid w:val="003B72F3"/>
    <w:rsid w:val="003B7C89"/>
    <w:rsid w:val="003B7D0C"/>
    <w:rsid w:val="003C00E6"/>
    <w:rsid w:val="003C04B6"/>
    <w:rsid w:val="003C099F"/>
    <w:rsid w:val="003C134C"/>
    <w:rsid w:val="003C21C9"/>
    <w:rsid w:val="003C2972"/>
    <w:rsid w:val="003C55FC"/>
    <w:rsid w:val="003C562A"/>
    <w:rsid w:val="003C653F"/>
    <w:rsid w:val="003C7E3F"/>
    <w:rsid w:val="003D4B90"/>
    <w:rsid w:val="003D6215"/>
    <w:rsid w:val="003D639F"/>
    <w:rsid w:val="003E0990"/>
    <w:rsid w:val="003E0FD5"/>
    <w:rsid w:val="003E215E"/>
    <w:rsid w:val="003E2353"/>
    <w:rsid w:val="003E289A"/>
    <w:rsid w:val="003E2D3A"/>
    <w:rsid w:val="003E3923"/>
    <w:rsid w:val="003E5802"/>
    <w:rsid w:val="003E5B3B"/>
    <w:rsid w:val="003E65C6"/>
    <w:rsid w:val="003E7312"/>
    <w:rsid w:val="003F0126"/>
    <w:rsid w:val="003F0352"/>
    <w:rsid w:val="003F0430"/>
    <w:rsid w:val="003F2774"/>
    <w:rsid w:val="003F2F71"/>
    <w:rsid w:val="003F51C5"/>
    <w:rsid w:val="003F604F"/>
    <w:rsid w:val="003F6F3E"/>
    <w:rsid w:val="003F70C1"/>
    <w:rsid w:val="003F7329"/>
    <w:rsid w:val="00401C25"/>
    <w:rsid w:val="00402743"/>
    <w:rsid w:val="004034CA"/>
    <w:rsid w:val="00406DBA"/>
    <w:rsid w:val="00407FDE"/>
    <w:rsid w:val="00410E09"/>
    <w:rsid w:val="004111F3"/>
    <w:rsid w:val="00412653"/>
    <w:rsid w:val="00412F23"/>
    <w:rsid w:val="00413775"/>
    <w:rsid w:val="00414577"/>
    <w:rsid w:val="00414941"/>
    <w:rsid w:val="004166AF"/>
    <w:rsid w:val="004169C9"/>
    <w:rsid w:val="00416A46"/>
    <w:rsid w:val="00417D54"/>
    <w:rsid w:val="00417EAF"/>
    <w:rsid w:val="0042022A"/>
    <w:rsid w:val="00420A1D"/>
    <w:rsid w:val="00421684"/>
    <w:rsid w:val="0042185C"/>
    <w:rsid w:val="00422E5E"/>
    <w:rsid w:val="00423BAD"/>
    <w:rsid w:val="00424BF0"/>
    <w:rsid w:val="00426466"/>
    <w:rsid w:val="00427A45"/>
    <w:rsid w:val="00431B42"/>
    <w:rsid w:val="00432167"/>
    <w:rsid w:val="00432469"/>
    <w:rsid w:val="00432922"/>
    <w:rsid w:val="00436CC2"/>
    <w:rsid w:val="00436F5D"/>
    <w:rsid w:val="00437164"/>
    <w:rsid w:val="00442AC4"/>
    <w:rsid w:val="00442C0F"/>
    <w:rsid w:val="0044485C"/>
    <w:rsid w:val="0044489B"/>
    <w:rsid w:val="004472E9"/>
    <w:rsid w:val="0045055F"/>
    <w:rsid w:val="00450828"/>
    <w:rsid w:val="00454D06"/>
    <w:rsid w:val="00454DD1"/>
    <w:rsid w:val="00460085"/>
    <w:rsid w:val="00460199"/>
    <w:rsid w:val="00460A60"/>
    <w:rsid w:val="00462009"/>
    <w:rsid w:val="004620B7"/>
    <w:rsid w:val="00463AB3"/>
    <w:rsid w:val="0046602A"/>
    <w:rsid w:val="00466051"/>
    <w:rsid w:val="00467194"/>
    <w:rsid w:val="004701F8"/>
    <w:rsid w:val="004709A1"/>
    <w:rsid w:val="00473A4B"/>
    <w:rsid w:val="00474421"/>
    <w:rsid w:val="00475375"/>
    <w:rsid w:val="00475C4D"/>
    <w:rsid w:val="00475DCF"/>
    <w:rsid w:val="00476529"/>
    <w:rsid w:val="004816BC"/>
    <w:rsid w:val="00482253"/>
    <w:rsid w:val="00486E45"/>
    <w:rsid w:val="00490D51"/>
    <w:rsid w:val="004911D8"/>
    <w:rsid w:val="0049192E"/>
    <w:rsid w:val="00491EC6"/>
    <w:rsid w:val="00493B61"/>
    <w:rsid w:val="00494BDA"/>
    <w:rsid w:val="00495139"/>
    <w:rsid w:val="00495700"/>
    <w:rsid w:val="00496FE0"/>
    <w:rsid w:val="00497023"/>
    <w:rsid w:val="0049702F"/>
    <w:rsid w:val="004A0DAE"/>
    <w:rsid w:val="004A3552"/>
    <w:rsid w:val="004A4201"/>
    <w:rsid w:val="004A5215"/>
    <w:rsid w:val="004A5DE8"/>
    <w:rsid w:val="004B187C"/>
    <w:rsid w:val="004B2ECC"/>
    <w:rsid w:val="004B3B29"/>
    <w:rsid w:val="004B47FC"/>
    <w:rsid w:val="004B488C"/>
    <w:rsid w:val="004B510E"/>
    <w:rsid w:val="004B5265"/>
    <w:rsid w:val="004B58FE"/>
    <w:rsid w:val="004B64F1"/>
    <w:rsid w:val="004B6F1D"/>
    <w:rsid w:val="004B72F7"/>
    <w:rsid w:val="004C0AA2"/>
    <w:rsid w:val="004C0AF3"/>
    <w:rsid w:val="004C2AE8"/>
    <w:rsid w:val="004C49CD"/>
    <w:rsid w:val="004C5B7E"/>
    <w:rsid w:val="004C5DCB"/>
    <w:rsid w:val="004C660A"/>
    <w:rsid w:val="004C6AB9"/>
    <w:rsid w:val="004C7085"/>
    <w:rsid w:val="004D1D60"/>
    <w:rsid w:val="004D2354"/>
    <w:rsid w:val="004D336E"/>
    <w:rsid w:val="004D3D98"/>
    <w:rsid w:val="004D481B"/>
    <w:rsid w:val="004D6157"/>
    <w:rsid w:val="004D61C6"/>
    <w:rsid w:val="004D6E87"/>
    <w:rsid w:val="004D6FA0"/>
    <w:rsid w:val="004D7E6C"/>
    <w:rsid w:val="004E1ACC"/>
    <w:rsid w:val="004E3E24"/>
    <w:rsid w:val="004E566A"/>
    <w:rsid w:val="004E6805"/>
    <w:rsid w:val="004E7A42"/>
    <w:rsid w:val="004F127E"/>
    <w:rsid w:val="004F275E"/>
    <w:rsid w:val="004F2B18"/>
    <w:rsid w:val="004F4A56"/>
    <w:rsid w:val="004F5125"/>
    <w:rsid w:val="004F58F8"/>
    <w:rsid w:val="0050134E"/>
    <w:rsid w:val="005016AF"/>
    <w:rsid w:val="00501DF1"/>
    <w:rsid w:val="00504578"/>
    <w:rsid w:val="005051B3"/>
    <w:rsid w:val="00506B92"/>
    <w:rsid w:val="0051131E"/>
    <w:rsid w:val="0051190C"/>
    <w:rsid w:val="005122ED"/>
    <w:rsid w:val="00512ADF"/>
    <w:rsid w:val="005130D3"/>
    <w:rsid w:val="00513254"/>
    <w:rsid w:val="00514027"/>
    <w:rsid w:val="005147F0"/>
    <w:rsid w:val="005149E8"/>
    <w:rsid w:val="00514C93"/>
    <w:rsid w:val="005150B7"/>
    <w:rsid w:val="00515DDB"/>
    <w:rsid w:val="00515FB0"/>
    <w:rsid w:val="00516EF9"/>
    <w:rsid w:val="00517B13"/>
    <w:rsid w:val="00517B7F"/>
    <w:rsid w:val="005203B8"/>
    <w:rsid w:val="00520FCD"/>
    <w:rsid w:val="0052127C"/>
    <w:rsid w:val="00521A39"/>
    <w:rsid w:val="00521EAD"/>
    <w:rsid w:val="00522DA4"/>
    <w:rsid w:val="00524330"/>
    <w:rsid w:val="005245F0"/>
    <w:rsid w:val="005267A6"/>
    <w:rsid w:val="00526A13"/>
    <w:rsid w:val="00527F5E"/>
    <w:rsid w:val="00530020"/>
    <w:rsid w:val="00530756"/>
    <w:rsid w:val="00531BA7"/>
    <w:rsid w:val="00531FE1"/>
    <w:rsid w:val="00532349"/>
    <w:rsid w:val="00534765"/>
    <w:rsid w:val="00534D32"/>
    <w:rsid w:val="005355BA"/>
    <w:rsid w:val="005357B8"/>
    <w:rsid w:val="005358AF"/>
    <w:rsid w:val="00535A75"/>
    <w:rsid w:val="005371B9"/>
    <w:rsid w:val="00540C3D"/>
    <w:rsid w:val="00541286"/>
    <w:rsid w:val="005433DF"/>
    <w:rsid w:val="00544923"/>
    <w:rsid w:val="00546827"/>
    <w:rsid w:val="00550251"/>
    <w:rsid w:val="00550677"/>
    <w:rsid w:val="005506F1"/>
    <w:rsid w:val="005511EF"/>
    <w:rsid w:val="00552CDF"/>
    <w:rsid w:val="0055307B"/>
    <w:rsid w:val="00553FE3"/>
    <w:rsid w:val="005540F9"/>
    <w:rsid w:val="0055497B"/>
    <w:rsid w:val="00556CC3"/>
    <w:rsid w:val="00557A56"/>
    <w:rsid w:val="0056286D"/>
    <w:rsid w:val="00563308"/>
    <w:rsid w:val="00563DEF"/>
    <w:rsid w:val="005664BE"/>
    <w:rsid w:val="00566FAD"/>
    <w:rsid w:val="00567966"/>
    <w:rsid w:val="00567CA9"/>
    <w:rsid w:val="00570088"/>
    <w:rsid w:val="005719AD"/>
    <w:rsid w:val="00573E70"/>
    <w:rsid w:val="00574EF3"/>
    <w:rsid w:val="00576666"/>
    <w:rsid w:val="0058029C"/>
    <w:rsid w:val="005838D2"/>
    <w:rsid w:val="00584EFB"/>
    <w:rsid w:val="00585A50"/>
    <w:rsid w:val="00585BC1"/>
    <w:rsid w:val="0058727B"/>
    <w:rsid w:val="00587347"/>
    <w:rsid w:val="005918A2"/>
    <w:rsid w:val="00593298"/>
    <w:rsid w:val="0059540E"/>
    <w:rsid w:val="0059583C"/>
    <w:rsid w:val="00596AE4"/>
    <w:rsid w:val="00596B31"/>
    <w:rsid w:val="00596EED"/>
    <w:rsid w:val="005A27CB"/>
    <w:rsid w:val="005A2CCC"/>
    <w:rsid w:val="005A3A9E"/>
    <w:rsid w:val="005A3B6D"/>
    <w:rsid w:val="005A4791"/>
    <w:rsid w:val="005A50BD"/>
    <w:rsid w:val="005A5190"/>
    <w:rsid w:val="005A6FEB"/>
    <w:rsid w:val="005B03CA"/>
    <w:rsid w:val="005B23C4"/>
    <w:rsid w:val="005B2A38"/>
    <w:rsid w:val="005B3322"/>
    <w:rsid w:val="005B4A20"/>
    <w:rsid w:val="005B4EF1"/>
    <w:rsid w:val="005B6427"/>
    <w:rsid w:val="005B6465"/>
    <w:rsid w:val="005B66B5"/>
    <w:rsid w:val="005B6E44"/>
    <w:rsid w:val="005C0013"/>
    <w:rsid w:val="005C015D"/>
    <w:rsid w:val="005C06AD"/>
    <w:rsid w:val="005C0F32"/>
    <w:rsid w:val="005C27A5"/>
    <w:rsid w:val="005C28D3"/>
    <w:rsid w:val="005C298D"/>
    <w:rsid w:val="005C33A3"/>
    <w:rsid w:val="005C4616"/>
    <w:rsid w:val="005D0A00"/>
    <w:rsid w:val="005D1A96"/>
    <w:rsid w:val="005D2A3D"/>
    <w:rsid w:val="005D3581"/>
    <w:rsid w:val="005D3BB8"/>
    <w:rsid w:val="005D4FA3"/>
    <w:rsid w:val="005D6D5F"/>
    <w:rsid w:val="005D7C8B"/>
    <w:rsid w:val="005E03CD"/>
    <w:rsid w:val="005E072A"/>
    <w:rsid w:val="005E321D"/>
    <w:rsid w:val="005E3365"/>
    <w:rsid w:val="005E3720"/>
    <w:rsid w:val="005E3A31"/>
    <w:rsid w:val="005E523B"/>
    <w:rsid w:val="005E6134"/>
    <w:rsid w:val="005E6FE4"/>
    <w:rsid w:val="005E74A9"/>
    <w:rsid w:val="005F2A84"/>
    <w:rsid w:val="005F3AC6"/>
    <w:rsid w:val="005F5EC9"/>
    <w:rsid w:val="005F64C3"/>
    <w:rsid w:val="0060008E"/>
    <w:rsid w:val="0060014E"/>
    <w:rsid w:val="00602D6F"/>
    <w:rsid w:val="00603CB3"/>
    <w:rsid w:val="0060640D"/>
    <w:rsid w:val="00606BF2"/>
    <w:rsid w:val="006079A1"/>
    <w:rsid w:val="006106A7"/>
    <w:rsid w:val="00610EA0"/>
    <w:rsid w:val="00612172"/>
    <w:rsid w:val="0061242A"/>
    <w:rsid w:val="00612450"/>
    <w:rsid w:val="00612463"/>
    <w:rsid w:val="006125D5"/>
    <w:rsid w:val="0061264F"/>
    <w:rsid w:val="00613F13"/>
    <w:rsid w:val="0061413E"/>
    <w:rsid w:val="006143C5"/>
    <w:rsid w:val="0061446B"/>
    <w:rsid w:val="0061526E"/>
    <w:rsid w:val="00617803"/>
    <w:rsid w:val="00617CC4"/>
    <w:rsid w:val="006206D6"/>
    <w:rsid w:val="00621AC4"/>
    <w:rsid w:val="00622A7A"/>
    <w:rsid w:val="006234CE"/>
    <w:rsid w:val="00623811"/>
    <w:rsid w:val="00625396"/>
    <w:rsid w:val="00625854"/>
    <w:rsid w:val="006259EE"/>
    <w:rsid w:val="0062641A"/>
    <w:rsid w:val="006359E0"/>
    <w:rsid w:val="00635D37"/>
    <w:rsid w:val="00637623"/>
    <w:rsid w:val="0064056C"/>
    <w:rsid w:val="00641CD4"/>
    <w:rsid w:val="0064239C"/>
    <w:rsid w:val="00642603"/>
    <w:rsid w:val="00642BF6"/>
    <w:rsid w:val="00642BF8"/>
    <w:rsid w:val="00642F82"/>
    <w:rsid w:val="0064552D"/>
    <w:rsid w:val="00645956"/>
    <w:rsid w:val="006467B3"/>
    <w:rsid w:val="00646D94"/>
    <w:rsid w:val="00647A8D"/>
    <w:rsid w:val="006513FA"/>
    <w:rsid w:val="006516EA"/>
    <w:rsid w:val="006517F1"/>
    <w:rsid w:val="00653598"/>
    <w:rsid w:val="006542BD"/>
    <w:rsid w:val="00654A59"/>
    <w:rsid w:val="0065513D"/>
    <w:rsid w:val="00655590"/>
    <w:rsid w:val="006557EA"/>
    <w:rsid w:val="00656E01"/>
    <w:rsid w:val="00657276"/>
    <w:rsid w:val="00657366"/>
    <w:rsid w:val="0065755C"/>
    <w:rsid w:val="006602A4"/>
    <w:rsid w:val="0066044E"/>
    <w:rsid w:val="006619E0"/>
    <w:rsid w:val="00663FCD"/>
    <w:rsid w:val="00665399"/>
    <w:rsid w:val="00666849"/>
    <w:rsid w:val="00666A66"/>
    <w:rsid w:val="00667B69"/>
    <w:rsid w:val="00667F16"/>
    <w:rsid w:val="006700B6"/>
    <w:rsid w:val="00670165"/>
    <w:rsid w:val="00672066"/>
    <w:rsid w:val="00672549"/>
    <w:rsid w:val="00672D20"/>
    <w:rsid w:val="00672EBB"/>
    <w:rsid w:val="00673A5C"/>
    <w:rsid w:val="00676555"/>
    <w:rsid w:val="006779B4"/>
    <w:rsid w:val="00677F05"/>
    <w:rsid w:val="00680991"/>
    <w:rsid w:val="00680D52"/>
    <w:rsid w:val="006817A2"/>
    <w:rsid w:val="00683401"/>
    <w:rsid w:val="00685536"/>
    <w:rsid w:val="00686029"/>
    <w:rsid w:val="00686C10"/>
    <w:rsid w:val="00687A0F"/>
    <w:rsid w:val="00690035"/>
    <w:rsid w:val="00691BCE"/>
    <w:rsid w:val="0069317F"/>
    <w:rsid w:val="00694154"/>
    <w:rsid w:val="006948C3"/>
    <w:rsid w:val="006951AD"/>
    <w:rsid w:val="00696805"/>
    <w:rsid w:val="0069749E"/>
    <w:rsid w:val="006A0C28"/>
    <w:rsid w:val="006A2F43"/>
    <w:rsid w:val="006B55EC"/>
    <w:rsid w:val="006B6148"/>
    <w:rsid w:val="006B6E95"/>
    <w:rsid w:val="006B7163"/>
    <w:rsid w:val="006C15E4"/>
    <w:rsid w:val="006C2ABE"/>
    <w:rsid w:val="006C2AC2"/>
    <w:rsid w:val="006C5191"/>
    <w:rsid w:val="006C55B2"/>
    <w:rsid w:val="006C5632"/>
    <w:rsid w:val="006C669D"/>
    <w:rsid w:val="006D0436"/>
    <w:rsid w:val="006D1DCC"/>
    <w:rsid w:val="006D2B4C"/>
    <w:rsid w:val="006D2E34"/>
    <w:rsid w:val="006D3CAE"/>
    <w:rsid w:val="006D6C6F"/>
    <w:rsid w:val="006D72C0"/>
    <w:rsid w:val="006E0024"/>
    <w:rsid w:val="006E055B"/>
    <w:rsid w:val="006E0D50"/>
    <w:rsid w:val="006E13E7"/>
    <w:rsid w:val="006E26C9"/>
    <w:rsid w:val="006E31EA"/>
    <w:rsid w:val="006E32BB"/>
    <w:rsid w:val="006E48D0"/>
    <w:rsid w:val="006E5953"/>
    <w:rsid w:val="006F19EC"/>
    <w:rsid w:val="006F24C9"/>
    <w:rsid w:val="006F3425"/>
    <w:rsid w:val="006F3658"/>
    <w:rsid w:val="006F4B6D"/>
    <w:rsid w:val="006F51E3"/>
    <w:rsid w:val="006F7061"/>
    <w:rsid w:val="00700621"/>
    <w:rsid w:val="00700A75"/>
    <w:rsid w:val="00701956"/>
    <w:rsid w:val="00702CE9"/>
    <w:rsid w:val="00702F2E"/>
    <w:rsid w:val="00704C17"/>
    <w:rsid w:val="0070522B"/>
    <w:rsid w:val="007064B0"/>
    <w:rsid w:val="00711970"/>
    <w:rsid w:val="0071385C"/>
    <w:rsid w:val="00714CFB"/>
    <w:rsid w:val="00714FDF"/>
    <w:rsid w:val="0071588E"/>
    <w:rsid w:val="0071632D"/>
    <w:rsid w:val="007173DB"/>
    <w:rsid w:val="007175AE"/>
    <w:rsid w:val="00717867"/>
    <w:rsid w:val="007223BD"/>
    <w:rsid w:val="00722D43"/>
    <w:rsid w:val="007235C7"/>
    <w:rsid w:val="007263A3"/>
    <w:rsid w:val="00726C34"/>
    <w:rsid w:val="00726CD4"/>
    <w:rsid w:val="00730790"/>
    <w:rsid w:val="00730891"/>
    <w:rsid w:val="00731215"/>
    <w:rsid w:val="00731C0C"/>
    <w:rsid w:val="00731E4C"/>
    <w:rsid w:val="00732865"/>
    <w:rsid w:val="007329DB"/>
    <w:rsid w:val="00733371"/>
    <w:rsid w:val="00733472"/>
    <w:rsid w:val="007349AE"/>
    <w:rsid w:val="007352C4"/>
    <w:rsid w:val="00735C61"/>
    <w:rsid w:val="007379ED"/>
    <w:rsid w:val="007405B4"/>
    <w:rsid w:val="00741049"/>
    <w:rsid w:val="007426E2"/>
    <w:rsid w:val="007428F3"/>
    <w:rsid w:val="00744DE6"/>
    <w:rsid w:val="00745882"/>
    <w:rsid w:val="00745FD9"/>
    <w:rsid w:val="007463E1"/>
    <w:rsid w:val="00746DC9"/>
    <w:rsid w:val="00746EA6"/>
    <w:rsid w:val="007521B5"/>
    <w:rsid w:val="0075227F"/>
    <w:rsid w:val="00752A53"/>
    <w:rsid w:val="00752FCF"/>
    <w:rsid w:val="0075300A"/>
    <w:rsid w:val="0075344A"/>
    <w:rsid w:val="00753582"/>
    <w:rsid w:val="00755F90"/>
    <w:rsid w:val="007563BC"/>
    <w:rsid w:val="007563D5"/>
    <w:rsid w:val="007567F7"/>
    <w:rsid w:val="00756A22"/>
    <w:rsid w:val="00756D6A"/>
    <w:rsid w:val="00756E2E"/>
    <w:rsid w:val="00757B02"/>
    <w:rsid w:val="00760CB2"/>
    <w:rsid w:val="00765BD4"/>
    <w:rsid w:val="00766870"/>
    <w:rsid w:val="007678FB"/>
    <w:rsid w:val="00770455"/>
    <w:rsid w:val="00770601"/>
    <w:rsid w:val="0077066D"/>
    <w:rsid w:val="0077086F"/>
    <w:rsid w:val="00770A2F"/>
    <w:rsid w:val="0077145B"/>
    <w:rsid w:val="00771599"/>
    <w:rsid w:val="007717BA"/>
    <w:rsid w:val="007717ED"/>
    <w:rsid w:val="00774BD1"/>
    <w:rsid w:val="00775A5A"/>
    <w:rsid w:val="007768E4"/>
    <w:rsid w:val="00776BD1"/>
    <w:rsid w:val="007779BF"/>
    <w:rsid w:val="0078020D"/>
    <w:rsid w:val="0078076A"/>
    <w:rsid w:val="00780F0D"/>
    <w:rsid w:val="0078158B"/>
    <w:rsid w:val="00784891"/>
    <w:rsid w:val="00784911"/>
    <w:rsid w:val="00785D68"/>
    <w:rsid w:val="00785E3A"/>
    <w:rsid w:val="007908ED"/>
    <w:rsid w:val="0079112B"/>
    <w:rsid w:val="007923A3"/>
    <w:rsid w:val="00792B37"/>
    <w:rsid w:val="00793710"/>
    <w:rsid w:val="007947A1"/>
    <w:rsid w:val="007958E4"/>
    <w:rsid w:val="00796A34"/>
    <w:rsid w:val="00797E81"/>
    <w:rsid w:val="00797EDC"/>
    <w:rsid w:val="007A0EC1"/>
    <w:rsid w:val="007A1F62"/>
    <w:rsid w:val="007A5DEF"/>
    <w:rsid w:val="007A7921"/>
    <w:rsid w:val="007A7E15"/>
    <w:rsid w:val="007B059F"/>
    <w:rsid w:val="007B0658"/>
    <w:rsid w:val="007B15F9"/>
    <w:rsid w:val="007B19FB"/>
    <w:rsid w:val="007B22B7"/>
    <w:rsid w:val="007B2EA3"/>
    <w:rsid w:val="007B3C11"/>
    <w:rsid w:val="007B4010"/>
    <w:rsid w:val="007B575E"/>
    <w:rsid w:val="007B611E"/>
    <w:rsid w:val="007B68E8"/>
    <w:rsid w:val="007B6E02"/>
    <w:rsid w:val="007B7CB7"/>
    <w:rsid w:val="007C000E"/>
    <w:rsid w:val="007C0C9D"/>
    <w:rsid w:val="007C0E98"/>
    <w:rsid w:val="007C1194"/>
    <w:rsid w:val="007C23A0"/>
    <w:rsid w:val="007C5BBF"/>
    <w:rsid w:val="007C64B3"/>
    <w:rsid w:val="007C7C94"/>
    <w:rsid w:val="007D0DB9"/>
    <w:rsid w:val="007D1D01"/>
    <w:rsid w:val="007D1F22"/>
    <w:rsid w:val="007D3170"/>
    <w:rsid w:val="007D3BF1"/>
    <w:rsid w:val="007D4329"/>
    <w:rsid w:val="007D4333"/>
    <w:rsid w:val="007D4D5D"/>
    <w:rsid w:val="007D5051"/>
    <w:rsid w:val="007D5B3C"/>
    <w:rsid w:val="007D7CA6"/>
    <w:rsid w:val="007D7E5E"/>
    <w:rsid w:val="007E11F8"/>
    <w:rsid w:val="007E229F"/>
    <w:rsid w:val="007E2888"/>
    <w:rsid w:val="007E5518"/>
    <w:rsid w:val="007E5DCF"/>
    <w:rsid w:val="007E5F77"/>
    <w:rsid w:val="007E73C2"/>
    <w:rsid w:val="007F000B"/>
    <w:rsid w:val="007F08DA"/>
    <w:rsid w:val="007F1AF8"/>
    <w:rsid w:val="007F1B05"/>
    <w:rsid w:val="007F1D7E"/>
    <w:rsid w:val="007F4F0D"/>
    <w:rsid w:val="007F503C"/>
    <w:rsid w:val="007F5A7B"/>
    <w:rsid w:val="007F60C5"/>
    <w:rsid w:val="007F76AB"/>
    <w:rsid w:val="00800300"/>
    <w:rsid w:val="00802298"/>
    <w:rsid w:val="00802421"/>
    <w:rsid w:val="00803D48"/>
    <w:rsid w:val="0080470A"/>
    <w:rsid w:val="00804C38"/>
    <w:rsid w:val="00805ADB"/>
    <w:rsid w:val="00806277"/>
    <w:rsid w:val="008102C4"/>
    <w:rsid w:val="00812B54"/>
    <w:rsid w:val="00812C41"/>
    <w:rsid w:val="00812E98"/>
    <w:rsid w:val="00813AC6"/>
    <w:rsid w:val="00813F7B"/>
    <w:rsid w:val="00814D27"/>
    <w:rsid w:val="00816C40"/>
    <w:rsid w:val="0082033E"/>
    <w:rsid w:val="00820373"/>
    <w:rsid w:val="0082065D"/>
    <w:rsid w:val="00821446"/>
    <w:rsid w:val="00821D79"/>
    <w:rsid w:val="00821EFF"/>
    <w:rsid w:val="008223A2"/>
    <w:rsid w:val="00822996"/>
    <w:rsid w:val="00822C51"/>
    <w:rsid w:val="0082391F"/>
    <w:rsid w:val="00824B5E"/>
    <w:rsid w:val="00824DCA"/>
    <w:rsid w:val="00824E95"/>
    <w:rsid w:val="0082602A"/>
    <w:rsid w:val="008260B2"/>
    <w:rsid w:val="00830C2D"/>
    <w:rsid w:val="00831632"/>
    <w:rsid w:val="0083214A"/>
    <w:rsid w:val="00832CA7"/>
    <w:rsid w:val="008331D0"/>
    <w:rsid w:val="0083399E"/>
    <w:rsid w:val="008346FB"/>
    <w:rsid w:val="00836789"/>
    <w:rsid w:val="00836EFA"/>
    <w:rsid w:val="008372D9"/>
    <w:rsid w:val="008378E3"/>
    <w:rsid w:val="00837B59"/>
    <w:rsid w:val="00840857"/>
    <w:rsid w:val="00840BAE"/>
    <w:rsid w:val="008413B2"/>
    <w:rsid w:val="00841611"/>
    <w:rsid w:val="008452B6"/>
    <w:rsid w:val="008459E9"/>
    <w:rsid w:val="00846694"/>
    <w:rsid w:val="00847C98"/>
    <w:rsid w:val="00852600"/>
    <w:rsid w:val="008526C4"/>
    <w:rsid w:val="008554D1"/>
    <w:rsid w:val="00855548"/>
    <w:rsid w:val="00855A5E"/>
    <w:rsid w:val="00855B00"/>
    <w:rsid w:val="0085675D"/>
    <w:rsid w:val="00856AD6"/>
    <w:rsid w:val="0086264A"/>
    <w:rsid w:val="0086275D"/>
    <w:rsid w:val="00862C46"/>
    <w:rsid w:val="00866106"/>
    <w:rsid w:val="0086757E"/>
    <w:rsid w:val="00867A26"/>
    <w:rsid w:val="00870F90"/>
    <w:rsid w:val="00871D3E"/>
    <w:rsid w:val="008721AB"/>
    <w:rsid w:val="00873446"/>
    <w:rsid w:val="00873585"/>
    <w:rsid w:val="00873D8E"/>
    <w:rsid w:val="00876D0E"/>
    <w:rsid w:val="00877347"/>
    <w:rsid w:val="0088001E"/>
    <w:rsid w:val="00880564"/>
    <w:rsid w:val="00880B9E"/>
    <w:rsid w:val="00881081"/>
    <w:rsid w:val="008822AF"/>
    <w:rsid w:val="00884139"/>
    <w:rsid w:val="00885D9F"/>
    <w:rsid w:val="00886354"/>
    <w:rsid w:val="00886E4C"/>
    <w:rsid w:val="0089138E"/>
    <w:rsid w:val="008916EF"/>
    <w:rsid w:val="008926A2"/>
    <w:rsid w:val="00892B5A"/>
    <w:rsid w:val="00892D62"/>
    <w:rsid w:val="00892DBF"/>
    <w:rsid w:val="008938C6"/>
    <w:rsid w:val="00893BAF"/>
    <w:rsid w:val="0089691B"/>
    <w:rsid w:val="008A00EA"/>
    <w:rsid w:val="008A0320"/>
    <w:rsid w:val="008A0C34"/>
    <w:rsid w:val="008A15AF"/>
    <w:rsid w:val="008A2EE6"/>
    <w:rsid w:val="008A38C0"/>
    <w:rsid w:val="008A479D"/>
    <w:rsid w:val="008A49D5"/>
    <w:rsid w:val="008A51E3"/>
    <w:rsid w:val="008A790B"/>
    <w:rsid w:val="008A7EDF"/>
    <w:rsid w:val="008B203B"/>
    <w:rsid w:val="008B34FA"/>
    <w:rsid w:val="008B4CEA"/>
    <w:rsid w:val="008B560F"/>
    <w:rsid w:val="008B594F"/>
    <w:rsid w:val="008B5CE3"/>
    <w:rsid w:val="008B601F"/>
    <w:rsid w:val="008B68D2"/>
    <w:rsid w:val="008B7028"/>
    <w:rsid w:val="008B7867"/>
    <w:rsid w:val="008B7B7A"/>
    <w:rsid w:val="008C06D4"/>
    <w:rsid w:val="008C1F22"/>
    <w:rsid w:val="008C1F4D"/>
    <w:rsid w:val="008C2CE9"/>
    <w:rsid w:val="008C3ACC"/>
    <w:rsid w:val="008C4E7E"/>
    <w:rsid w:val="008C5E6D"/>
    <w:rsid w:val="008C6988"/>
    <w:rsid w:val="008C77D6"/>
    <w:rsid w:val="008C7B8B"/>
    <w:rsid w:val="008D0B56"/>
    <w:rsid w:val="008D2C47"/>
    <w:rsid w:val="008D44E1"/>
    <w:rsid w:val="008D5A32"/>
    <w:rsid w:val="008D5E9D"/>
    <w:rsid w:val="008D6F1C"/>
    <w:rsid w:val="008E11DF"/>
    <w:rsid w:val="008E3213"/>
    <w:rsid w:val="008E3E20"/>
    <w:rsid w:val="008E4EF2"/>
    <w:rsid w:val="008E560F"/>
    <w:rsid w:val="008E6213"/>
    <w:rsid w:val="008E6AA6"/>
    <w:rsid w:val="008E6F77"/>
    <w:rsid w:val="008E7C9C"/>
    <w:rsid w:val="008F0323"/>
    <w:rsid w:val="008F1335"/>
    <w:rsid w:val="008F264D"/>
    <w:rsid w:val="008F393B"/>
    <w:rsid w:val="008F490E"/>
    <w:rsid w:val="008F55D0"/>
    <w:rsid w:val="008F5EDC"/>
    <w:rsid w:val="008F7D5F"/>
    <w:rsid w:val="00901A02"/>
    <w:rsid w:val="00902607"/>
    <w:rsid w:val="0090454F"/>
    <w:rsid w:val="009047FE"/>
    <w:rsid w:val="0090508A"/>
    <w:rsid w:val="0090546B"/>
    <w:rsid w:val="00905568"/>
    <w:rsid w:val="00905D22"/>
    <w:rsid w:val="00906E8F"/>
    <w:rsid w:val="00907A3F"/>
    <w:rsid w:val="00907E1C"/>
    <w:rsid w:val="00907F3A"/>
    <w:rsid w:val="00907FCA"/>
    <w:rsid w:val="00911241"/>
    <w:rsid w:val="00911E07"/>
    <w:rsid w:val="00912BC1"/>
    <w:rsid w:val="009133FD"/>
    <w:rsid w:val="009134B1"/>
    <w:rsid w:val="009134E6"/>
    <w:rsid w:val="009138E5"/>
    <w:rsid w:val="00913DA1"/>
    <w:rsid w:val="00914A8D"/>
    <w:rsid w:val="00914A95"/>
    <w:rsid w:val="009153E5"/>
    <w:rsid w:val="009235ED"/>
    <w:rsid w:val="00923E33"/>
    <w:rsid w:val="00923F6F"/>
    <w:rsid w:val="00924C2F"/>
    <w:rsid w:val="009254B9"/>
    <w:rsid w:val="00925F7F"/>
    <w:rsid w:val="00927F3B"/>
    <w:rsid w:val="00927F43"/>
    <w:rsid w:val="00931AEE"/>
    <w:rsid w:val="00931E1D"/>
    <w:rsid w:val="00934806"/>
    <w:rsid w:val="0093504E"/>
    <w:rsid w:val="0093602D"/>
    <w:rsid w:val="009362F9"/>
    <w:rsid w:val="00936A9F"/>
    <w:rsid w:val="00937187"/>
    <w:rsid w:val="009374A4"/>
    <w:rsid w:val="009377E9"/>
    <w:rsid w:val="00941994"/>
    <w:rsid w:val="00942E7F"/>
    <w:rsid w:val="00942FAB"/>
    <w:rsid w:val="0094335F"/>
    <w:rsid w:val="009436F7"/>
    <w:rsid w:val="00943ACE"/>
    <w:rsid w:val="0094402D"/>
    <w:rsid w:val="00944FC1"/>
    <w:rsid w:val="0094547F"/>
    <w:rsid w:val="009455D8"/>
    <w:rsid w:val="009456AB"/>
    <w:rsid w:val="0094657F"/>
    <w:rsid w:val="00946585"/>
    <w:rsid w:val="00951A7C"/>
    <w:rsid w:val="0095255D"/>
    <w:rsid w:val="009537A4"/>
    <w:rsid w:val="00954778"/>
    <w:rsid w:val="0095537B"/>
    <w:rsid w:val="00956B8B"/>
    <w:rsid w:val="0095740B"/>
    <w:rsid w:val="00957D73"/>
    <w:rsid w:val="009625D0"/>
    <w:rsid w:val="00963361"/>
    <w:rsid w:val="00963B7C"/>
    <w:rsid w:val="0096598F"/>
    <w:rsid w:val="009665A8"/>
    <w:rsid w:val="00966BF8"/>
    <w:rsid w:val="00966FC8"/>
    <w:rsid w:val="00967776"/>
    <w:rsid w:val="0097143A"/>
    <w:rsid w:val="00972151"/>
    <w:rsid w:val="00972F0B"/>
    <w:rsid w:val="00974CF2"/>
    <w:rsid w:val="0097584D"/>
    <w:rsid w:val="00976230"/>
    <w:rsid w:val="00976D36"/>
    <w:rsid w:val="00977C2E"/>
    <w:rsid w:val="00981177"/>
    <w:rsid w:val="00987119"/>
    <w:rsid w:val="00991C71"/>
    <w:rsid w:val="009929A6"/>
    <w:rsid w:val="0099473C"/>
    <w:rsid w:val="0099478D"/>
    <w:rsid w:val="00994EFD"/>
    <w:rsid w:val="0099548D"/>
    <w:rsid w:val="00996297"/>
    <w:rsid w:val="00996E6C"/>
    <w:rsid w:val="00997699"/>
    <w:rsid w:val="009A0294"/>
    <w:rsid w:val="009A096F"/>
    <w:rsid w:val="009A1788"/>
    <w:rsid w:val="009A2D39"/>
    <w:rsid w:val="009A3069"/>
    <w:rsid w:val="009A3D90"/>
    <w:rsid w:val="009A3E3D"/>
    <w:rsid w:val="009A4242"/>
    <w:rsid w:val="009A4703"/>
    <w:rsid w:val="009A4C5B"/>
    <w:rsid w:val="009A5E81"/>
    <w:rsid w:val="009A6425"/>
    <w:rsid w:val="009B0A9D"/>
    <w:rsid w:val="009B19B8"/>
    <w:rsid w:val="009B2BD8"/>
    <w:rsid w:val="009B2C55"/>
    <w:rsid w:val="009B7802"/>
    <w:rsid w:val="009C118E"/>
    <w:rsid w:val="009C370C"/>
    <w:rsid w:val="009C4CF7"/>
    <w:rsid w:val="009C53A7"/>
    <w:rsid w:val="009C5694"/>
    <w:rsid w:val="009C6126"/>
    <w:rsid w:val="009D0215"/>
    <w:rsid w:val="009D0A70"/>
    <w:rsid w:val="009D15F9"/>
    <w:rsid w:val="009D2033"/>
    <w:rsid w:val="009D7608"/>
    <w:rsid w:val="009D77DB"/>
    <w:rsid w:val="009D7A00"/>
    <w:rsid w:val="009E1278"/>
    <w:rsid w:val="009E28F4"/>
    <w:rsid w:val="009E2C1F"/>
    <w:rsid w:val="009E2F17"/>
    <w:rsid w:val="009E3AAC"/>
    <w:rsid w:val="009E3AD5"/>
    <w:rsid w:val="009E4878"/>
    <w:rsid w:val="009E5A71"/>
    <w:rsid w:val="009E6DAF"/>
    <w:rsid w:val="009F0C1B"/>
    <w:rsid w:val="009F0C6A"/>
    <w:rsid w:val="009F0DAE"/>
    <w:rsid w:val="009F1BB5"/>
    <w:rsid w:val="009F2013"/>
    <w:rsid w:val="009F2536"/>
    <w:rsid w:val="009F3AC6"/>
    <w:rsid w:val="009F3D80"/>
    <w:rsid w:val="009F569C"/>
    <w:rsid w:val="009F6630"/>
    <w:rsid w:val="009F6F99"/>
    <w:rsid w:val="00A001DC"/>
    <w:rsid w:val="00A0020F"/>
    <w:rsid w:val="00A005B8"/>
    <w:rsid w:val="00A018FF"/>
    <w:rsid w:val="00A0192E"/>
    <w:rsid w:val="00A02319"/>
    <w:rsid w:val="00A025C4"/>
    <w:rsid w:val="00A025E8"/>
    <w:rsid w:val="00A0273A"/>
    <w:rsid w:val="00A03B5C"/>
    <w:rsid w:val="00A0425A"/>
    <w:rsid w:val="00A05826"/>
    <w:rsid w:val="00A05AF0"/>
    <w:rsid w:val="00A05B46"/>
    <w:rsid w:val="00A0601D"/>
    <w:rsid w:val="00A0668E"/>
    <w:rsid w:val="00A10CE8"/>
    <w:rsid w:val="00A1143F"/>
    <w:rsid w:val="00A12B79"/>
    <w:rsid w:val="00A14E36"/>
    <w:rsid w:val="00A167C8"/>
    <w:rsid w:val="00A1750B"/>
    <w:rsid w:val="00A2109E"/>
    <w:rsid w:val="00A22160"/>
    <w:rsid w:val="00A2334F"/>
    <w:rsid w:val="00A238E2"/>
    <w:rsid w:val="00A24AB3"/>
    <w:rsid w:val="00A252EB"/>
    <w:rsid w:val="00A25FAE"/>
    <w:rsid w:val="00A276D0"/>
    <w:rsid w:val="00A307DD"/>
    <w:rsid w:val="00A30F44"/>
    <w:rsid w:val="00A318B7"/>
    <w:rsid w:val="00A337FB"/>
    <w:rsid w:val="00A34D24"/>
    <w:rsid w:val="00A364C5"/>
    <w:rsid w:val="00A40D31"/>
    <w:rsid w:val="00A41792"/>
    <w:rsid w:val="00A41B03"/>
    <w:rsid w:val="00A44729"/>
    <w:rsid w:val="00A44846"/>
    <w:rsid w:val="00A4485F"/>
    <w:rsid w:val="00A4488E"/>
    <w:rsid w:val="00A45C3E"/>
    <w:rsid w:val="00A5178E"/>
    <w:rsid w:val="00A530D2"/>
    <w:rsid w:val="00A53CCD"/>
    <w:rsid w:val="00A54969"/>
    <w:rsid w:val="00A5504B"/>
    <w:rsid w:val="00A55126"/>
    <w:rsid w:val="00A55F8F"/>
    <w:rsid w:val="00A5659C"/>
    <w:rsid w:val="00A60DEF"/>
    <w:rsid w:val="00A620A2"/>
    <w:rsid w:val="00A62558"/>
    <w:rsid w:val="00A62E4E"/>
    <w:rsid w:val="00A64121"/>
    <w:rsid w:val="00A66054"/>
    <w:rsid w:val="00A705CB"/>
    <w:rsid w:val="00A708A9"/>
    <w:rsid w:val="00A718B2"/>
    <w:rsid w:val="00A71A55"/>
    <w:rsid w:val="00A7272E"/>
    <w:rsid w:val="00A731D7"/>
    <w:rsid w:val="00A75DE4"/>
    <w:rsid w:val="00A77B67"/>
    <w:rsid w:val="00A805E9"/>
    <w:rsid w:val="00A827FB"/>
    <w:rsid w:val="00A82805"/>
    <w:rsid w:val="00A82A52"/>
    <w:rsid w:val="00A83213"/>
    <w:rsid w:val="00A8384B"/>
    <w:rsid w:val="00A849DA"/>
    <w:rsid w:val="00A84BEA"/>
    <w:rsid w:val="00A85243"/>
    <w:rsid w:val="00A852CD"/>
    <w:rsid w:val="00A8693B"/>
    <w:rsid w:val="00A906AD"/>
    <w:rsid w:val="00A90C18"/>
    <w:rsid w:val="00A91EAF"/>
    <w:rsid w:val="00A92B92"/>
    <w:rsid w:val="00A93FAE"/>
    <w:rsid w:val="00A94E9E"/>
    <w:rsid w:val="00A9736A"/>
    <w:rsid w:val="00AA5F9C"/>
    <w:rsid w:val="00AA618E"/>
    <w:rsid w:val="00AB0276"/>
    <w:rsid w:val="00AB061A"/>
    <w:rsid w:val="00AB0783"/>
    <w:rsid w:val="00AB17F8"/>
    <w:rsid w:val="00AB262C"/>
    <w:rsid w:val="00AB3F63"/>
    <w:rsid w:val="00AB52CE"/>
    <w:rsid w:val="00AB5DEB"/>
    <w:rsid w:val="00AB61D7"/>
    <w:rsid w:val="00AB7A85"/>
    <w:rsid w:val="00AC25B8"/>
    <w:rsid w:val="00AC3403"/>
    <w:rsid w:val="00AC39E7"/>
    <w:rsid w:val="00AC6427"/>
    <w:rsid w:val="00AC6F01"/>
    <w:rsid w:val="00AD329C"/>
    <w:rsid w:val="00AD40CF"/>
    <w:rsid w:val="00AD44DF"/>
    <w:rsid w:val="00AD72E2"/>
    <w:rsid w:val="00AE07B3"/>
    <w:rsid w:val="00AE1169"/>
    <w:rsid w:val="00AE3F2B"/>
    <w:rsid w:val="00AE41D8"/>
    <w:rsid w:val="00AE4868"/>
    <w:rsid w:val="00AE6E78"/>
    <w:rsid w:val="00AE76CA"/>
    <w:rsid w:val="00AF03A3"/>
    <w:rsid w:val="00AF1E28"/>
    <w:rsid w:val="00AF5941"/>
    <w:rsid w:val="00AF65CB"/>
    <w:rsid w:val="00B03023"/>
    <w:rsid w:val="00B0314F"/>
    <w:rsid w:val="00B03AD9"/>
    <w:rsid w:val="00B04500"/>
    <w:rsid w:val="00B0487F"/>
    <w:rsid w:val="00B06ECC"/>
    <w:rsid w:val="00B073E0"/>
    <w:rsid w:val="00B12502"/>
    <w:rsid w:val="00B1499C"/>
    <w:rsid w:val="00B15A77"/>
    <w:rsid w:val="00B16F4A"/>
    <w:rsid w:val="00B17290"/>
    <w:rsid w:val="00B21638"/>
    <w:rsid w:val="00B21D9D"/>
    <w:rsid w:val="00B22607"/>
    <w:rsid w:val="00B227DE"/>
    <w:rsid w:val="00B23873"/>
    <w:rsid w:val="00B24701"/>
    <w:rsid w:val="00B2562A"/>
    <w:rsid w:val="00B263CF"/>
    <w:rsid w:val="00B3023C"/>
    <w:rsid w:val="00B30C08"/>
    <w:rsid w:val="00B30C48"/>
    <w:rsid w:val="00B33D67"/>
    <w:rsid w:val="00B35914"/>
    <w:rsid w:val="00B35E70"/>
    <w:rsid w:val="00B360C9"/>
    <w:rsid w:val="00B40076"/>
    <w:rsid w:val="00B40171"/>
    <w:rsid w:val="00B402FD"/>
    <w:rsid w:val="00B40749"/>
    <w:rsid w:val="00B412E5"/>
    <w:rsid w:val="00B42723"/>
    <w:rsid w:val="00B44E0F"/>
    <w:rsid w:val="00B4568C"/>
    <w:rsid w:val="00B4606D"/>
    <w:rsid w:val="00B46243"/>
    <w:rsid w:val="00B477D9"/>
    <w:rsid w:val="00B47949"/>
    <w:rsid w:val="00B47FD2"/>
    <w:rsid w:val="00B50E50"/>
    <w:rsid w:val="00B516F5"/>
    <w:rsid w:val="00B51DB8"/>
    <w:rsid w:val="00B53123"/>
    <w:rsid w:val="00B532F3"/>
    <w:rsid w:val="00B54081"/>
    <w:rsid w:val="00B54D8C"/>
    <w:rsid w:val="00B55F20"/>
    <w:rsid w:val="00B61047"/>
    <w:rsid w:val="00B62550"/>
    <w:rsid w:val="00B65073"/>
    <w:rsid w:val="00B6588B"/>
    <w:rsid w:val="00B664FE"/>
    <w:rsid w:val="00B70415"/>
    <w:rsid w:val="00B70528"/>
    <w:rsid w:val="00B71293"/>
    <w:rsid w:val="00B71474"/>
    <w:rsid w:val="00B7148F"/>
    <w:rsid w:val="00B721D6"/>
    <w:rsid w:val="00B72AAB"/>
    <w:rsid w:val="00B74581"/>
    <w:rsid w:val="00B74972"/>
    <w:rsid w:val="00B75C35"/>
    <w:rsid w:val="00B766A5"/>
    <w:rsid w:val="00B775F4"/>
    <w:rsid w:val="00B816C5"/>
    <w:rsid w:val="00B81985"/>
    <w:rsid w:val="00B8250D"/>
    <w:rsid w:val="00B82C8B"/>
    <w:rsid w:val="00B83D55"/>
    <w:rsid w:val="00B843F1"/>
    <w:rsid w:val="00B851CB"/>
    <w:rsid w:val="00B851DE"/>
    <w:rsid w:val="00B85A67"/>
    <w:rsid w:val="00B870D3"/>
    <w:rsid w:val="00B8782A"/>
    <w:rsid w:val="00B90358"/>
    <w:rsid w:val="00B90547"/>
    <w:rsid w:val="00B9299B"/>
    <w:rsid w:val="00B937CA"/>
    <w:rsid w:val="00B95A89"/>
    <w:rsid w:val="00B976CC"/>
    <w:rsid w:val="00BA2DE2"/>
    <w:rsid w:val="00BA4919"/>
    <w:rsid w:val="00BA5D9A"/>
    <w:rsid w:val="00BB0C20"/>
    <w:rsid w:val="00BB22AB"/>
    <w:rsid w:val="00BB28C7"/>
    <w:rsid w:val="00BB3A83"/>
    <w:rsid w:val="00BB5687"/>
    <w:rsid w:val="00BB6264"/>
    <w:rsid w:val="00BC05C1"/>
    <w:rsid w:val="00BC08D4"/>
    <w:rsid w:val="00BC1A5A"/>
    <w:rsid w:val="00BC26B1"/>
    <w:rsid w:val="00BC28B9"/>
    <w:rsid w:val="00BC4920"/>
    <w:rsid w:val="00BC5CB0"/>
    <w:rsid w:val="00BC70E5"/>
    <w:rsid w:val="00BD0F26"/>
    <w:rsid w:val="00BD106F"/>
    <w:rsid w:val="00BD2A17"/>
    <w:rsid w:val="00BD2D6A"/>
    <w:rsid w:val="00BD36DF"/>
    <w:rsid w:val="00BD3B63"/>
    <w:rsid w:val="00BD4AEE"/>
    <w:rsid w:val="00BD717A"/>
    <w:rsid w:val="00BD74F0"/>
    <w:rsid w:val="00BD7776"/>
    <w:rsid w:val="00BE0157"/>
    <w:rsid w:val="00BE189C"/>
    <w:rsid w:val="00BE2246"/>
    <w:rsid w:val="00BE2869"/>
    <w:rsid w:val="00BE4D19"/>
    <w:rsid w:val="00BE6107"/>
    <w:rsid w:val="00BF2920"/>
    <w:rsid w:val="00BF365E"/>
    <w:rsid w:val="00BF36FA"/>
    <w:rsid w:val="00BF3AD9"/>
    <w:rsid w:val="00BF66B0"/>
    <w:rsid w:val="00BF7896"/>
    <w:rsid w:val="00C02EDE"/>
    <w:rsid w:val="00C032EC"/>
    <w:rsid w:val="00C03F1B"/>
    <w:rsid w:val="00C0677C"/>
    <w:rsid w:val="00C06A28"/>
    <w:rsid w:val="00C076D5"/>
    <w:rsid w:val="00C0772D"/>
    <w:rsid w:val="00C07924"/>
    <w:rsid w:val="00C1009E"/>
    <w:rsid w:val="00C11CD1"/>
    <w:rsid w:val="00C12947"/>
    <w:rsid w:val="00C12D39"/>
    <w:rsid w:val="00C13C22"/>
    <w:rsid w:val="00C16497"/>
    <w:rsid w:val="00C167C5"/>
    <w:rsid w:val="00C16BFE"/>
    <w:rsid w:val="00C178DF"/>
    <w:rsid w:val="00C203C0"/>
    <w:rsid w:val="00C22953"/>
    <w:rsid w:val="00C24506"/>
    <w:rsid w:val="00C24666"/>
    <w:rsid w:val="00C250F3"/>
    <w:rsid w:val="00C25C15"/>
    <w:rsid w:val="00C25D1F"/>
    <w:rsid w:val="00C25DF7"/>
    <w:rsid w:val="00C265B7"/>
    <w:rsid w:val="00C32656"/>
    <w:rsid w:val="00C33277"/>
    <w:rsid w:val="00C3398B"/>
    <w:rsid w:val="00C3495F"/>
    <w:rsid w:val="00C34B11"/>
    <w:rsid w:val="00C44222"/>
    <w:rsid w:val="00C450AC"/>
    <w:rsid w:val="00C454A7"/>
    <w:rsid w:val="00C45D5A"/>
    <w:rsid w:val="00C45D64"/>
    <w:rsid w:val="00C467E3"/>
    <w:rsid w:val="00C47959"/>
    <w:rsid w:val="00C529FA"/>
    <w:rsid w:val="00C53108"/>
    <w:rsid w:val="00C5523B"/>
    <w:rsid w:val="00C55399"/>
    <w:rsid w:val="00C56001"/>
    <w:rsid w:val="00C57CC7"/>
    <w:rsid w:val="00C61365"/>
    <w:rsid w:val="00C620AE"/>
    <w:rsid w:val="00C62BAD"/>
    <w:rsid w:val="00C6328E"/>
    <w:rsid w:val="00C6466F"/>
    <w:rsid w:val="00C64DA9"/>
    <w:rsid w:val="00C662C9"/>
    <w:rsid w:val="00C67634"/>
    <w:rsid w:val="00C678FF"/>
    <w:rsid w:val="00C703F9"/>
    <w:rsid w:val="00C704C0"/>
    <w:rsid w:val="00C71E1F"/>
    <w:rsid w:val="00C73637"/>
    <w:rsid w:val="00C73DF4"/>
    <w:rsid w:val="00C74130"/>
    <w:rsid w:val="00C75279"/>
    <w:rsid w:val="00C80035"/>
    <w:rsid w:val="00C809E3"/>
    <w:rsid w:val="00C81B23"/>
    <w:rsid w:val="00C83DCF"/>
    <w:rsid w:val="00C83F81"/>
    <w:rsid w:val="00C84113"/>
    <w:rsid w:val="00C846AA"/>
    <w:rsid w:val="00C84CA1"/>
    <w:rsid w:val="00C8588C"/>
    <w:rsid w:val="00C9006D"/>
    <w:rsid w:val="00C90F3E"/>
    <w:rsid w:val="00C938F2"/>
    <w:rsid w:val="00C95038"/>
    <w:rsid w:val="00C97456"/>
    <w:rsid w:val="00CA16CF"/>
    <w:rsid w:val="00CA2537"/>
    <w:rsid w:val="00CA273E"/>
    <w:rsid w:val="00CA41DE"/>
    <w:rsid w:val="00CA4CE2"/>
    <w:rsid w:val="00CA5E36"/>
    <w:rsid w:val="00CA6B33"/>
    <w:rsid w:val="00CA6F22"/>
    <w:rsid w:val="00CB00F4"/>
    <w:rsid w:val="00CB06E6"/>
    <w:rsid w:val="00CB1A89"/>
    <w:rsid w:val="00CB3F14"/>
    <w:rsid w:val="00CC10DC"/>
    <w:rsid w:val="00CC15A7"/>
    <w:rsid w:val="00CC1D83"/>
    <w:rsid w:val="00CC2DF2"/>
    <w:rsid w:val="00CC379F"/>
    <w:rsid w:val="00CC4297"/>
    <w:rsid w:val="00CC499E"/>
    <w:rsid w:val="00CC49D5"/>
    <w:rsid w:val="00CC4BCD"/>
    <w:rsid w:val="00CC4D99"/>
    <w:rsid w:val="00CC6AEA"/>
    <w:rsid w:val="00CD15F6"/>
    <w:rsid w:val="00CD1853"/>
    <w:rsid w:val="00CD1BC4"/>
    <w:rsid w:val="00CD26A5"/>
    <w:rsid w:val="00CD3F8D"/>
    <w:rsid w:val="00CD50A0"/>
    <w:rsid w:val="00CD56BD"/>
    <w:rsid w:val="00CD5DA9"/>
    <w:rsid w:val="00CD652C"/>
    <w:rsid w:val="00CD69B8"/>
    <w:rsid w:val="00CD763E"/>
    <w:rsid w:val="00CE0816"/>
    <w:rsid w:val="00CE0B89"/>
    <w:rsid w:val="00CE341B"/>
    <w:rsid w:val="00CE53DC"/>
    <w:rsid w:val="00CE693E"/>
    <w:rsid w:val="00CE77EC"/>
    <w:rsid w:val="00CF2AD5"/>
    <w:rsid w:val="00CF425D"/>
    <w:rsid w:val="00CF4B25"/>
    <w:rsid w:val="00CF5005"/>
    <w:rsid w:val="00CF5800"/>
    <w:rsid w:val="00D0118B"/>
    <w:rsid w:val="00D04DC2"/>
    <w:rsid w:val="00D0576A"/>
    <w:rsid w:val="00D072C1"/>
    <w:rsid w:val="00D107D9"/>
    <w:rsid w:val="00D10F58"/>
    <w:rsid w:val="00D1198B"/>
    <w:rsid w:val="00D13292"/>
    <w:rsid w:val="00D14A0F"/>
    <w:rsid w:val="00D20255"/>
    <w:rsid w:val="00D202B6"/>
    <w:rsid w:val="00D21B4F"/>
    <w:rsid w:val="00D2275F"/>
    <w:rsid w:val="00D22AC9"/>
    <w:rsid w:val="00D23593"/>
    <w:rsid w:val="00D23642"/>
    <w:rsid w:val="00D2518C"/>
    <w:rsid w:val="00D256B3"/>
    <w:rsid w:val="00D258C7"/>
    <w:rsid w:val="00D27085"/>
    <w:rsid w:val="00D27D7A"/>
    <w:rsid w:val="00D30B9E"/>
    <w:rsid w:val="00D31845"/>
    <w:rsid w:val="00D32489"/>
    <w:rsid w:val="00D33FA6"/>
    <w:rsid w:val="00D342F9"/>
    <w:rsid w:val="00D34406"/>
    <w:rsid w:val="00D34A2A"/>
    <w:rsid w:val="00D35EFA"/>
    <w:rsid w:val="00D36292"/>
    <w:rsid w:val="00D368BD"/>
    <w:rsid w:val="00D36A3C"/>
    <w:rsid w:val="00D36D85"/>
    <w:rsid w:val="00D4013C"/>
    <w:rsid w:val="00D40CF8"/>
    <w:rsid w:val="00D41552"/>
    <w:rsid w:val="00D41CC6"/>
    <w:rsid w:val="00D427F0"/>
    <w:rsid w:val="00D4489F"/>
    <w:rsid w:val="00D45ACD"/>
    <w:rsid w:val="00D46F15"/>
    <w:rsid w:val="00D47294"/>
    <w:rsid w:val="00D534FD"/>
    <w:rsid w:val="00D53E34"/>
    <w:rsid w:val="00D55799"/>
    <w:rsid w:val="00D56484"/>
    <w:rsid w:val="00D5651D"/>
    <w:rsid w:val="00D56AD6"/>
    <w:rsid w:val="00D5706E"/>
    <w:rsid w:val="00D612E4"/>
    <w:rsid w:val="00D6149C"/>
    <w:rsid w:val="00D61522"/>
    <w:rsid w:val="00D6351B"/>
    <w:rsid w:val="00D64EBD"/>
    <w:rsid w:val="00D654D2"/>
    <w:rsid w:val="00D655A6"/>
    <w:rsid w:val="00D66798"/>
    <w:rsid w:val="00D66C74"/>
    <w:rsid w:val="00D67B3E"/>
    <w:rsid w:val="00D70163"/>
    <w:rsid w:val="00D712DF"/>
    <w:rsid w:val="00D7154D"/>
    <w:rsid w:val="00D72997"/>
    <w:rsid w:val="00D729CE"/>
    <w:rsid w:val="00D74CBD"/>
    <w:rsid w:val="00D7613E"/>
    <w:rsid w:val="00D77790"/>
    <w:rsid w:val="00D80EA3"/>
    <w:rsid w:val="00D81002"/>
    <w:rsid w:val="00D81AFC"/>
    <w:rsid w:val="00D81BDF"/>
    <w:rsid w:val="00D82AF5"/>
    <w:rsid w:val="00D82B41"/>
    <w:rsid w:val="00D8358E"/>
    <w:rsid w:val="00D8521F"/>
    <w:rsid w:val="00D85D4E"/>
    <w:rsid w:val="00D8669A"/>
    <w:rsid w:val="00D868B0"/>
    <w:rsid w:val="00D87344"/>
    <w:rsid w:val="00D91541"/>
    <w:rsid w:val="00D92D3D"/>
    <w:rsid w:val="00D93671"/>
    <w:rsid w:val="00D93DD6"/>
    <w:rsid w:val="00D94467"/>
    <w:rsid w:val="00D94488"/>
    <w:rsid w:val="00D94F69"/>
    <w:rsid w:val="00D94FB8"/>
    <w:rsid w:val="00D9519D"/>
    <w:rsid w:val="00D96695"/>
    <w:rsid w:val="00D9715C"/>
    <w:rsid w:val="00DA023A"/>
    <w:rsid w:val="00DA0409"/>
    <w:rsid w:val="00DA046B"/>
    <w:rsid w:val="00DA04CE"/>
    <w:rsid w:val="00DA0512"/>
    <w:rsid w:val="00DA0B68"/>
    <w:rsid w:val="00DA46B6"/>
    <w:rsid w:val="00DA528D"/>
    <w:rsid w:val="00DA53B0"/>
    <w:rsid w:val="00DA60DF"/>
    <w:rsid w:val="00DA6646"/>
    <w:rsid w:val="00DA68E6"/>
    <w:rsid w:val="00DA6FCB"/>
    <w:rsid w:val="00DA7530"/>
    <w:rsid w:val="00DA7581"/>
    <w:rsid w:val="00DA7BC2"/>
    <w:rsid w:val="00DB10FA"/>
    <w:rsid w:val="00DB1E68"/>
    <w:rsid w:val="00DB22B8"/>
    <w:rsid w:val="00DB64D5"/>
    <w:rsid w:val="00DB6D9C"/>
    <w:rsid w:val="00DB7545"/>
    <w:rsid w:val="00DB77A1"/>
    <w:rsid w:val="00DC008F"/>
    <w:rsid w:val="00DC0E4A"/>
    <w:rsid w:val="00DC3815"/>
    <w:rsid w:val="00DC393F"/>
    <w:rsid w:val="00DC56BB"/>
    <w:rsid w:val="00DC6D21"/>
    <w:rsid w:val="00DC7BE5"/>
    <w:rsid w:val="00DC7EC1"/>
    <w:rsid w:val="00DD18B2"/>
    <w:rsid w:val="00DD1CD0"/>
    <w:rsid w:val="00DD2A87"/>
    <w:rsid w:val="00DD4288"/>
    <w:rsid w:val="00DD47A8"/>
    <w:rsid w:val="00DD529C"/>
    <w:rsid w:val="00DD5DF2"/>
    <w:rsid w:val="00DD73D0"/>
    <w:rsid w:val="00DD7B48"/>
    <w:rsid w:val="00DE0456"/>
    <w:rsid w:val="00DE18C3"/>
    <w:rsid w:val="00DE191A"/>
    <w:rsid w:val="00DE224F"/>
    <w:rsid w:val="00DE241F"/>
    <w:rsid w:val="00DE2D06"/>
    <w:rsid w:val="00DE4105"/>
    <w:rsid w:val="00DE43ED"/>
    <w:rsid w:val="00DE443D"/>
    <w:rsid w:val="00DE50FC"/>
    <w:rsid w:val="00DE5463"/>
    <w:rsid w:val="00DE5550"/>
    <w:rsid w:val="00DE591E"/>
    <w:rsid w:val="00DE7247"/>
    <w:rsid w:val="00DE753B"/>
    <w:rsid w:val="00DF2A1D"/>
    <w:rsid w:val="00DF33F3"/>
    <w:rsid w:val="00DF38D4"/>
    <w:rsid w:val="00DF3F7B"/>
    <w:rsid w:val="00DF433F"/>
    <w:rsid w:val="00DF4364"/>
    <w:rsid w:val="00DF43BF"/>
    <w:rsid w:val="00DF57BC"/>
    <w:rsid w:val="00DF5F3F"/>
    <w:rsid w:val="00DF6CFF"/>
    <w:rsid w:val="00E00286"/>
    <w:rsid w:val="00E01A34"/>
    <w:rsid w:val="00E01CB1"/>
    <w:rsid w:val="00E02669"/>
    <w:rsid w:val="00E02B16"/>
    <w:rsid w:val="00E032BC"/>
    <w:rsid w:val="00E03D1D"/>
    <w:rsid w:val="00E04E87"/>
    <w:rsid w:val="00E05CC8"/>
    <w:rsid w:val="00E05EC7"/>
    <w:rsid w:val="00E068A3"/>
    <w:rsid w:val="00E06AFD"/>
    <w:rsid w:val="00E12A33"/>
    <w:rsid w:val="00E12CAD"/>
    <w:rsid w:val="00E13632"/>
    <w:rsid w:val="00E13E81"/>
    <w:rsid w:val="00E13ED6"/>
    <w:rsid w:val="00E141F9"/>
    <w:rsid w:val="00E144FB"/>
    <w:rsid w:val="00E14812"/>
    <w:rsid w:val="00E14DB9"/>
    <w:rsid w:val="00E15259"/>
    <w:rsid w:val="00E17DCC"/>
    <w:rsid w:val="00E20F4B"/>
    <w:rsid w:val="00E210A9"/>
    <w:rsid w:val="00E21992"/>
    <w:rsid w:val="00E22900"/>
    <w:rsid w:val="00E229E0"/>
    <w:rsid w:val="00E23ABD"/>
    <w:rsid w:val="00E251B8"/>
    <w:rsid w:val="00E26696"/>
    <w:rsid w:val="00E27356"/>
    <w:rsid w:val="00E30ED9"/>
    <w:rsid w:val="00E31F4D"/>
    <w:rsid w:val="00E34D13"/>
    <w:rsid w:val="00E3574B"/>
    <w:rsid w:val="00E35819"/>
    <w:rsid w:val="00E3608C"/>
    <w:rsid w:val="00E37C5A"/>
    <w:rsid w:val="00E41342"/>
    <w:rsid w:val="00E42160"/>
    <w:rsid w:val="00E44494"/>
    <w:rsid w:val="00E4460B"/>
    <w:rsid w:val="00E44A15"/>
    <w:rsid w:val="00E45366"/>
    <w:rsid w:val="00E4562E"/>
    <w:rsid w:val="00E45883"/>
    <w:rsid w:val="00E459F2"/>
    <w:rsid w:val="00E45AF0"/>
    <w:rsid w:val="00E45B69"/>
    <w:rsid w:val="00E45C65"/>
    <w:rsid w:val="00E46DDE"/>
    <w:rsid w:val="00E47C34"/>
    <w:rsid w:val="00E504CC"/>
    <w:rsid w:val="00E51041"/>
    <w:rsid w:val="00E5118F"/>
    <w:rsid w:val="00E52D99"/>
    <w:rsid w:val="00E53D34"/>
    <w:rsid w:val="00E54614"/>
    <w:rsid w:val="00E55418"/>
    <w:rsid w:val="00E557E2"/>
    <w:rsid w:val="00E5582C"/>
    <w:rsid w:val="00E55A98"/>
    <w:rsid w:val="00E56735"/>
    <w:rsid w:val="00E56FBA"/>
    <w:rsid w:val="00E60229"/>
    <w:rsid w:val="00E60574"/>
    <w:rsid w:val="00E61DCB"/>
    <w:rsid w:val="00E6259A"/>
    <w:rsid w:val="00E649AC"/>
    <w:rsid w:val="00E64CEA"/>
    <w:rsid w:val="00E66D35"/>
    <w:rsid w:val="00E677EA"/>
    <w:rsid w:val="00E67FF2"/>
    <w:rsid w:val="00E70BE0"/>
    <w:rsid w:val="00E71796"/>
    <w:rsid w:val="00E71D91"/>
    <w:rsid w:val="00E71FE7"/>
    <w:rsid w:val="00E7406C"/>
    <w:rsid w:val="00E74610"/>
    <w:rsid w:val="00E74A3C"/>
    <w:rsid w:val="00E757BF"/>
    <w:rsid w:val="00E7608D"/>
    <w:rsid w:val="00E76709"/>
    <w:rsid w:val="00E7726E"/>
    <w:rsid w:val="00E772B9"/>
    <w:rsid w:val="00E8009E"/>
    <w:rsid w:val="00E82F49"/>
    <w:rsid w:val="00E83177"/>
    <w:rsid w:val="00E83916"/>
    <w:rsid w:val="00E877FC"/>
    <w:rsid w:val="00E87F66"/>
    <w:rsid w:val="00E916AF"/>
    <w:rsid w:val="00E92AA5"/>
    <w:rsid w:val="00E93D10"/>
    <w:rsid w:val="00E964E6"/>
    <w:rsid w:val="00E97B6D"/>
    <w:rsid w:val="00EA1907"/>
    <w:rsid w:val="00EA395F"/>
    <w:rsid w:val="00EA4FBC"/>
    <w:rsid w:val="00EA5BAF"/>
    <w:rsid w:val="00EA6435"/>
    <w:rsid w:val="00EA6A5D"/>
    <w:rsid w:val="00EA7061"/>
    <w:rsid w:val="00EA70CC"/>
    <w:rsid w:val="00EB0BDB"/>
    <w:rsid w:val="00EB11EC"/>
    <w:rsid w:val="00EB40AE"/>
    <w:rsid w:val="00EB5354"/>
    <w:rsid w:val="00EB5465"/>
    <w:rsid w:val="00EB6552"/>
    <w:rsid w:val="00EB7C68"/>
    <w:rsid w:val="00EC0087"/>
    <w:rsid w:val="00EC0304"/>
    <w:rsid w:val="00EC0574"/>
    <w:rsid w:val="00EC0708"/>
    <w:rsid w:val="00EC07A5"/>
    <w:rsid w:val="00EC1AEB"/>
    <w:rsid w:val="00EC29BB"/>
    <w:rsid w:val="00EC41EF"/>
    <w:rsid w:val="00EC6082"/>
    <w:rsid w:val="00EC7ACC"/>
    <w:rsid w:val="00ED02F1"/>
    <w:rsid w:val="00ED1200"/>
    <w:rsid w:val="00ED2DF1"/>
    <w:rsid w:val="00ED2F66"/>
    <w:rsid w:val="00ED3DF5"/>
    <w:rsid w:val="00ED4666"/>
    <w:rsid w:val="00ED769F"/>
    <w:rsid w:val="00ED7ECB"/>
    <w:rsid w:val="00EE0482"/>
    <w:rsid w:val="00EE164D"/>
    <w:rsid w:val="00EE461B"/>
    <w:rsid w:val="00EE4B19"/>
    <w:rsid w:val="00EE526E"/>
    <w:rsid w:val="00EE5BC1"/>
    <w:rsid w:val="00EE723A"/>
    <w:rsid w:val="00EF107C"/>
    <w:rsid w:val="00EF2A51"/>
    <w:rsid w:val="00EF3639"/>
    <w:rsid w:val="00EF3C8A"/>
    <w:rsid w:val="00EF55A5"/>
    <w:rsid w:val="00EF5EA6"/>
    <w:rsid w:val="00EF6D65"/>
    <w:rsid w:val="00EF6FF7"/>
    <w:rsid w:val="00EF7D9B"/>
    <w:rsid w:val="00F003EA"/>
    <w:rsid w:val="00F01EF2"/>
    <w:rsid w:val="00F024B2"/>
    <w:rsid w:val="00F04FB4"/>
    <w:rsid w:val="00F06170"/>
    <w:rsid w:val="00F06B04"/>
    <w:rsid w:val="00F06B0D"/>
    <w:rsid w:val="00F06BBA"/>
    <w:rsid w:val="00F07721"/>
    <w:rsid w:val="00F11797"/>
    <w:rsid w:val="00F11C9B"/>
    <w:rsid w:val="00F123F9"/>
    <w:rsid w:val="00F13D48"/>
    <w:rsid w:val="00F1509F"/>
    <w:rsid w:val="00F16166"/>
    <w:rsid w:val="00F20E13"/>
    <w:rsid w:val="00F21978"/>
    <w:rsid w:val="00F21EEC"/>
    <w:rsid w:val="00F23FFB"/>
    <w:rsid w:val="00F24F68"/>
    <w:rsid w:val="00F252CF"/>
    <w:rsid w:val="00F25A23"/>
    <w:rsid w:val="00F26B46"/>
    <w:rsid w:val="00F27A21"/>
    <w:rsid w:val="00F30437"/>
    <w:rsid w:val="00F304F6"/>
    <w:rsid w:val="00F30CBB"/>
    <w:rsid w:val="00F31667"/>
    <w:rsid w:val="00F31C49"/>
    <w:rsid w:val="00F33BD5"/>
    <w:rsid w:val="00F35B61"/>
    <w:rsid w:val="00F35FB0"/>
    <w:rsid w:val="00F361C0"/>
    <w:rsid w:val="00F36760"/>
    <w:rsid w:val="00F37009"/>
    <w:rsid w:val="00F404F2"/>
    <w:rsid w:val="00F44460"/>
    <w:rsid w:val="00F44540"/>
    <w:rsid w:val="00F45CFE"/>
    <w:rsid w:val="00F45F08"/>
    <w:rsid w:val="00F46A60"/>
    <w:rsid w:val="00F47261"/>
    <w:rsid w:val="00F479DA"/>
    <w:rsid w:val="00F51758"/>
    <w:rsid w:val="00F51850"/>
    <w:rsid w:val="00F51B95"/>
    <w:rsid w:val="00F5223D"/>
    <w:rsid w:val="00F56FE2"/>
    <w:rsid w:val="00F634F0"/>
    <w:rsid w:val="00F66623"/>
    <w:rsid w:val="00F71295"/>
    <w:rsid w:val="00F73996"/>
    <w:rsid w:val="00F74C00"/>
    <w:rsid w:val="00F75026"/>
    <w:rsid w:val="00F7661C"/>
    <w:rsid w:val="00F77B6B"/>
    <w:rsid w:val="00F80552"/>
    <w:rsid w:val="00F82F43"/>
    <w:rsid w:val="00F8517B"/>
    <w:rsid w:val="00F85C3D"/>
    <w:rsid w:val="00F8600D"/>
    <w:rsid w:val="00F860FE"/>
    <w:rsid w:val="00F86888"/>
    <w:rsid w:val="00F87912"/>
    <w:rsid w:val="00F87BBF"/>
    <w:rsid w:val="00F9376B"/>
    <w:rsid w:val="00F940A8"/>
    <w:rsid w:val="00F958AE"/>
    <w:rsid w:val="00F962FE"/>
    <w:rsid w:val="00F976F8"/>
    <w:rsid w:val="00F97D19"/>
    <w:rsid w:val="00F97FC1"/>
    <w:rsid w:val="00FA0B78"/>
    <w:rsid w:val="00FA0CD9"/>
    <w:rsid w:val="00FA10EF"/>
    <w:rsid w:val="00FA23C2"/>
    <w:rsid w:val="00FA2497"/>
    <w:rsid w:val="00FA2745"/>
    <w:rsid w:val="00FA5B30"/>
    <w:rsid w:val="00FA5C8B"/>
    <w:rsid w:val="00FB0C98"/>
    <w:rsid w:val="00FB0F9B"/>
    <w:rsid w:val="00FB1461"/>
    <w:rsid w:val="00FB14AB"/>
    <w:rsid w:val="00FB14B7"/>
    <w:rsid w:val="00FB1CAA"/>
    <w:rsid w:val="00FB24B6"/>
    <w:rsid w:val="00FB4075"/>
    <w:rsid w:val="00FB42E8"/>
    <w:rsid w:val="00FB4B6B"/>
    <w:rsid w:val="00FC0687"/>
    <w:rsid w:val="00FC0D0F"/>
    <w:rsid w:val="00FC2B8F"/>
    <w:rsid w:val="00FC3113"/>
    <w:rsid w:val="00FC3270"/>
    <w:rsid w:val="00FC5111"/>
    <w:rsid w:val="00FC56D9"/>
    <w:rsid w:val="00FC59D2"/>
    <w:rsid w:val="00FC7027"/>
    <w:rsid w:val="00FD4543"/>
    <w:rsid w:val="00FD61DD"/>
    <w:rsid w:val="00FD7338"/>
    <w:rsid w:val="00FE1C11"/>
    <w:rsid w:val="00FE1C32"/>
    <w:rsid w:val="00FE1EBC"/>
    <w:rsid w:val="00FE2B7E"/>
    <w:rsid w:val="00FE2CF3"/>
    <w:rsid w:val="00FE3A11"/>
    <w:rsid w:val="00FE4634"/>
    <w:rsid w:val="00FE6469"/>
    <w:rsid w:val="00FE79A2"/>
    <w:rsid w:val="00FF1097"/>
    <w:rsid w:val="00FF1A08"/>
    <w:rsid w:val="00FF1E68"/>
    <w:rsid w:val="00FF2694"/>
    <w:rsid w:val="00FF470A"/>
    <w:rsid w:val="00FF4FEB"/>
    <w:rsid w:val="00FF58BF"/>
    <w:rsid w:val="00FF6479"/>
    <w:rsid w:val="00FF664E"/>
    <w:rsid w:val="00FF7992"/>
    <w:rsid w:val="012819A4"/>
    <w:rsid w:val="01331E9A"/>
    <w:rsid w:val="013844BA"/>
    <w:rsid w:val="013F8064"/>
    <w:rsid w:val="014E0E8C"/>
    <w:rsid w:val="019AE6AF"/>
    <w:rsid w:val="01C6E04E"/>
    <w:rsid w:val="01F4F599"/>
    <w:rsid w:val="021DCA1A"/>
    <w:rsid w:val="022F2A5F"/>
    <w:rsid w:val="0249980D"/>
    <w:rsid w:val="02CA2F8D"/>
    <w:rsid w:val="02F41D72"/>
    <w:rsid w:val="030C353D"/>
    <w:rsid w:val="0338EC22"/>
    <w:rsid w:val="0349897B"/>
    <w:rsid w:val="0350B66D"/>
    <w:rsid w:val="038E9153"/>
    <w:rsid w:val="0396A577"/>
    <w:rsid w:val="03EB3089"/>
    <w:rsid w:val="040BE0CA"/>
    <w:rsid w:val="041B6DB3"/>
    <w:rsid w:val="042EAE6C"/>
    <w:rsid w:val="04378DA6"/>
    <w:rsid w:val="04864FD6"/>
    <w:rsid w:val="04875409"/>
    <w:rsid w:val="04CCCBBC"/>
    <w:rsid w:val="04D11B09"/>
    <w:rsid w:val="04D7B500"/>
    <w:rsid w:val="04F3AA0B"/>
    <w:rsid w:val="050E72C4"/>
    <w:rsid w:val="05204501"/>
    <w:rsid w:val="052ADC17"/>
    <w:rsid w:val="05AD0C37"/>
    <w:rsid w:val="05BA89B2"/>
    <w:rsid w:val="05EB1595"/>
    <w:rsid w:val="05F14E36"/>
    <w:rsid w:val="0624E65E"/>
    <w:rsid w:val="064949C8"/>
    <w:rsid w:val="06740C28"/>
    <w:rsid w:val="0674FA8B"/>
    <w:rsid w:val="069899F7"/>
    <w:rsid w:val="06AF66AC"/>
    <w:rsid w:val="06CE55D0"/>
    <w:rsid w:val="06DAFC22"/>
    <w:rsid w:val="076E9A7A"/>
    <w:rsid w:val="0770E8E4"/>
    <w:rsid w:val="07B76E3B"/>
    <w:rsid w:val="07BB84BF"/>
    <w:rsid w:val="07DFA660"/>
    <w:rsid w:val="08296D2F"/>
    <w:rsid w:val="082B4ACD"/>
    <w:rsid w:val="082E7F37"/>
    <w:rsid w:val="084BA662"/>
    <w:rsid w:val="08616BD1"/>
    <w:rsid w:val="08A6CE8D"/>
    <w:rsid w:val="08A9D6EA"/>
    <w:rsid w:val="08AD6795"/>
    <w:rsid w:val="08CD530E"/>
    <w:rsid w:val="090CB945"/>
    <w:rsid w:val="09281477"/>
    <w:rsid w:val="092B26D0"/>
    <w:rsid w:val="095BC9B9"/>
    <w:rsid w:val="096BFBD2"/>
    <w:rsid w:val="096D612D"/>
    <w:rsid w:val="09A07A0A"/>
    <w:rsid w:val="09B5FE20"/>
    <w:rsid w:val="09D52687"/>
    <w:rsid w:val="09E69C23"/>
    <w:rsid w:val="0A1ADC85"/>
    <w:rsid w:val="0A5106C5"/>
    <w:rsid w:val="0A558E1F"/>
    <w:rsid w:val="0A58FC9E"/>
    <w:rsid w:val="0A6F906A"/>
    <w:rsid w:val="0A84871F"/>
    <w:rsid w:val="0A9DAF1C"/>
    <w:rsid w:val="0AAF2A74"/>
    <w:rsid w:val="0AC6F731"/>
    <w:rsid w:val="0AF9E38E"/>
    <w:rsid w:val="0B2CB9EB"/>
    <w:rsid w:val="0B7A9CBB"/>
    <w:rsid w:val="0BE2D1F0"/>
    <w:rsid w:val="0C74476A"/>
    <w:rsid w:val="0CB31783"/>
    <w:rsid w:val="0CC5DA6E"/>
    <w:rsid w:val="0CF26EC6"/>
    <w:rsid w:val="0D2BAB55"/>
    <w:rsid w:val="0D2C2793"/>
    <w:rsid w:val="0D91B952"/>
    <w:rsid w:val="0DA793A7"/>
    <w:rsid w:val="0DAB90F3"/>
    <w:rsid w:val="0DB99498"/>
    <w:rsid w:val="0E4DC01D"/>
    <w:rsid w:val="0E4EE7E4"/>
    <w:rsid w:val="0E504E56"/>
    <w:rsid w:val="0E6983BF"/>
    <w:rsid w:val="0E6C1F8D"/>
    <w:rsid w:val="0E8C30C3"/>
    <w:rsid w:val="0EAB9D8F"/>
    <w:rsid w:val="0EB266DC"/>
    <w:rsid w:val="0EED117F"/>
    <w:rsid w:val="0EF7EB37"/>
    <w:rsid w:val="0F262E1C"/>
    <w:rsid w:val="0F3AF6BB"/>
    <w:rsid w:val="0F436408"/>
    <w:rsid w:val="0F5DEA75"/>
    <w:rsid w:val="0F936240"/>
    <w:rsid w:val="0F9657BA"/>
    <w:rsid w:val="0FB5B2EC"/>
    <w:rsid w:val="0FCD9305"/>
    <w:rsid w:val="0FE1E0F2"/>
    <w:rsid w:val="10280124"/>
    <w:rsid w:val="102FB130"/>
    <w:rsid w:val="1056A92A"/>
    <w:rsid w:val="10866AC4"/>
    <w:rsid w:val="1097AFCB"/>
    <w:rsid w:val="10B19D4B"/>
    <w:rsid w:val="10D82314"/>
    <w:rsid w:val="10EF4260"/>
    <w:rsid w:val="10F1F34D"/>
    <w:rsid w:val="110B6233"/>
    <w:rsid w:val="11111EE5"/>
    <w:rsid w:val="11465E2E"/>
    <w:rsid w:val="1175EB66"/>
    <w:rsid w:val="119B3617"/>
    <w:rsid w:val="11C6DF5B"/>
    <w:rsid w:val="1221145E"/>
    <w:rsid w:val="122642F7"/>
    <w:rsid w:val="1261DC6D"/>
    <w:rsid w:val="126DBDD9"/>
    <w:rsid w:val="12710C87"/>
    <w:rsid w:val="12794F72"/>
    <w:rsid w:val="12D27946"/>
    <w:rsid w:val="12D3199D"/>
    <w:rsid w:val="136BEDA7"/>
    <w:rsid w:val="13726A9D"/>
    <w:rsid w:val="13995C2B"/>
    <w:rsid w:val="13A1D79B"/>
    <w:rsid w:val="13EEE09B"/>
    <w:rsid w:val="13FBDBC9"/>
    <w:rsid w:val="13FDACCE"/>
    <w:rsid w:val="1401AA19"/>
    <w:rsid w:val="14321637"/>
    <w:rsid w:val="143FAECB"/>
    <w:rsid w:val="14862895"/>
    <w:rsid w:val="1490EDB3"/>
    <w:rsid w:val="149D0CE7"/>
    <w:rsid w:val="14A138CD"/>
    <w:rsid w:val="14AD4A78"/>
    <w:rsid w:val="14BD3F2D"/>
    <w:rsid w:val="14C3D450"/>
    <w:rsid w:val="14D776E8"/>
    <w:rsid w:val="14DD4427"/>
    <w:rsid w:val="153A3FA1"/>
    <w:rsid w:val="156DC6E5"/>
    <w:rsid w:val="159424DE"/>
    <w:rsid w:val="15CA949A"/>
    <w:rsid w:val="15CCCFB1"/>
    <w:rsid w:val="15E8BDA5"/>
    <w:rsid w:val="163A3E3C"/>
    <w:rsid w:val="16CB1473"/>
    <w:rsid w:val="16D07E46"/>
    <w:rsid w:val="16F239E3"/>
    <w:rsid w:val="17280A5A"/>
    <w:rsid w:val="17407CF9"/>
    <w:rsid w:val="17721ECF"/>
    <w:rsid w:val="17A91744"/>
    <w:rsid w:val="17ACD3C2"/>
    <w:rsid w:val="17E2A2B7"/>
    <w:rsid w:val="182A5427"/>
    <w:rsid w:val="1845EFF2"/>
    <w:rsid w:val="1866E4D4"/>
    <w:rsid w:val="18942B8B"/>
    <w:rsid w:val="18B7ECAC"/>
    <w:rsid w:val="18F1F9FA"/>
    <w:rsid w:val="191C092D"/>
    <w:rsid w:val="194EBB4E"/>
    <w:rsid w:val="195A4281"/>
    <w:rsid w:val="19655B20"/>
    <w:rsid w:val="1973DD5B"/>
    <w:rsid w:val="1979122C"/>
    <w:rsid w:val="197CB793"/>
    <w:rsid w:val="19855F94"/>
    <w:rsid w:val="19F093FD"/>
    <w:rsid w:val="19F11DD2"/>
    <w:rsid w:val="1A1288A1"/>
    <w:rsid w:val="1A195929"/>
    <w:rsid w:val="1A31660B"/>
    <w:rsid w:val="1A4D2A3F"/>
    <w:rsid w:val="1A53CCCF"/>
    <w:rsid w:val="1A76F809"/>
    <w:rsid w:val="1A857F37"/>
    <w:rsid w:val="1AF85AB3"/>
    <w:rsid w:val="1B130331"/>
    <w:rsid w:val="1B294912"/>
    <w:rsid w:val="1B360F51"/>
    <w:rsid w:val="1B642329"/>
    <w:rsid w:val="1B85F166"/>
    <w:rsid w:val="1B8661DE"/>
    <w:rsid w:val="1B87BB0A"/>
    <w:rsid w:val="1BB16356"/>
    <w:rsid w:val="1BFD4E1F"/>
    <w:rsid w:val="1C0BED2C"/>
    <w:rsid w:val="1C2A4B03"/>
    <w:rsid w:val="1C64C11D"/>
    <w:rsid w:val="1C77C83F"/>
    <w:rsid w:val="1CCE2FB3"/>
    <w:rsid w:val="1CE44525"/>
    <w:rsid w:val="1D0496BD"/>
    <w:rsid w:val="1D3A83DF"/>
    <w:rsid w:val="1D4E40C4"/>
    <w:rsid w:val="1DAD8351"/>
    <w:rsid w:val="1DAFBE7D"/>
    <w:rsid w:val="1DE075DE"/>
    <w:rsid w:val="1E0F3516"/>
    <w:rsid w:val="1E19B3EB"/>
    <w:rsid w:val="1E30E05F"/>
    <w:rsid w:val="1E3BC8CF"/>
    <w:rsid w:val="1EA57AE4"/>
    <w:rsid w:val="1EFE28C4"/>
    <w:rsid w:val="1F18F988"/>
    <w:rsid w:val="1F193D1C"/>
    <w:rsid w:val="1F26CA6D"/>
    <w:rsid w:val="1F90EFC2"/>
    <w:rsid w:val="1FB0092B"/>
    <w:rsid w:val="1FCD79B7"/>
    <w:rsid w:val="1FD60553"/>
    <w:rsid w:val="1FF87E98"/>
    <w:rsid w:val="2003205B"/>
    <w:rsid w:val="20473B55"/>
    <w:rsid w:val="20475EEA"/>
    <w:rsid w:val="20481E98"/>
    <w:rsid w:val="207951B0"/>
    <w:rsid w:val="20823F6A"/>
    <w:rsid w:val="208468AB"/>
    <w:rsid w:val="20A04A29"/>
    <w:rsid w:val="20AE38C3"/>
    <w:rsid w:val="20BC33C3"/>
    <w:rsid w:val="20EB3378"/>
    <w:rsid w:val="211419F3"/>
    <w:rsid w:val="2137319E"/>
    <w:rsid w:val="213C796F"/>
    <w:rsid w:val="21578CDE"/>
    <w:rsid w:val="2165F676"/>
    <w:rsid w:val="2179F7F9"/>
    <w:rsid w:val="21C36134"/>
    <w:rsid w:val="21F545FB"/>
    <w:rsid w:val="221A2AF3"/>
    <w:rsid w:val="221E869C"/>
    <w:rsid w:val="222B51A9"/>
    <w:rsid w:val="2238DD2D"/>
    <w:rsid w:val="2247255F"/>
    <w:rsid w:val="22594E80"/>
    <w:rsid w:val="225C82B0"/>
    <w:rsid w:val="226050D2"/>
    <w:rsid w:val="226DE235"/>
    <w:rsid w:val="2357D30C"/>
    <w:rsid w:val="235DCA36"/>
    <w:rsid w:val="237C6BCE"/>
    <w:rsid w:val="239D3D74"/>
    <w:rsid w:val="23AD031D"/>
    <w:rsid w:val="23D2570A"/>
    <w:rsid w:val="23D3C875"/>
    <w:rsid w:val="23DC1CD6"/>
    <w:rsid w:val="23DE765C"/>
    <w:rsid w:val="23E0060C"/>
    <w:rsid w:val="23F03464"/>
    <w:rsid w:val="2410A483"/>
    <w:rsid w:val="241127D6"/>
    <w:rsid w:val="24219618"/>
    <w:rsid w:val="2429EE89"/>
    <w:rsid w:val="2440A192"/>
    <w:rsid w:val="245454DF"/>
    <w:rsid w:val="246622F6"/>
    <w:rsid w:val="24847D46"/>
    <w:rsid w:val="24A75EF1"/>
    <w:rsid w:val="25402A4C"/>
    <w:rsid w:val="2568E1BC"/>
    <w:rsid w:val="25B9CA8D"/>
    <w:rsid w:val="25EF3E7D"/>
    <w:rsid w:val="261F2D82"/>
    <w:rsid w:val="262AFE01"/>
    <w:rsid w:val="2644C9E9"/>
    <w:rsid w:val="2646DC36"/>
    <w:rsid w:val="2647F95F"/>
    <w:rsid w:val="26904A68"/>
    <w:rsid w:val="26956AF8"/>
    <w:rsid w:val="2697F594"/>
    <w:rsid w:val="26DE57E1"/>
    <w:rsid w:val="27349D99"/>
    <w:rsid w:val="27370C07"/>
    <w:rsid w:val="2757DAF1"/>
    <w:rsid w:val="275B435A"/>
    <w:rsid w:val="27D80571"/>
    <w:rsid w:val="27DF8780"/>
    <w:rsid w:val="27E3BCE9"/>
    <w:rsid w:val="27FBC141"/>
    <w:rsid w:val="285D413C"/>
    <w:rsid w:val="28C849A4"/>
    <w:rsid w:val="28CD602D"/>
    <w:rsid w:val="291A98C1"/>
    <w:rsid w:val="293F6EAF"/>
    <w:rsid w:val="294226FB"/>
    <w:rsid w:val="2975D341"/>
    <w:rsid w:val="29997D0A"/>
    <w:rsid w:val="29ADCD3D"/>
    <w:rsid w:val="29C3F7BC"/>
    <w:rsid w:val="2A1B61DD"/>
    <w:rsid w:val="2A295EF5"/>
    <w:rsid w:val="2A5D0FE2"/>
    <w:rsid w:val="2A86E0BB"/>
    <w:rsid w:val="2A93F3DF"/>
    <w:rsid w:val="2AC2F148"/>
    <w:rsid w:val="2B047FDF"/>
    <w:rsid w:val="2B712FBA"/>
    <w:rsid w:val="2BF42EA1"/>
    <w:rsid w:val="2BFD2E38"/>
    <w:rsid w:val="2C332058"/>
    <w:rsid w:val="2C487DC3"/>
    <w:rsid w:val="2C548A02"/>
    <w:rsid w:val="2C5AF3CE"/>
    <w:rsid w:val="2C6B78C5"/>
    <w:rsid w:val="2C6F9C00"/>
    <w:rsid w:val="2C9A3F85"/>
    <w:rsid w:val="2D1DD4D9"/>
    <w:rsid w:val="2D27ACEF"/>
    <w:rsid w:val="2D29E437"/>
    <w:rsid w:val="2D3885B4"/>
    <w:rsid w:val="2D3A3F33"/>
    <w:rsid w:val="2DCB94A1"/>
    <w:rsid w:val="2DE119C0"/>
    <w:rsid w:val="2DE55034"/>
    <w:rsid w:val="2E198671"/>
    <w:rsid w:val="2E4C8034"/>
    <w:rsid w:val="2E56F1B8"/>
    <w:rsid w:val="2E5CB04B"/>
    <w:rsid w:val="2E6721FF"/>
    <w:rsid w:val="2EA07CDD"/>
    <w:rsid w:val="2EA4D6AB"/>
    <w:rsid w:val="2EB9A53A"/>
    <w:rsid w:val="2EC4342B"/>
    <w:rsid w:val="2F02932F"/>
    <w:rsid w:val="2F048059"/>
    <w:rsid w:val="2F090D55"/>
    <w:rsid w:val="2F0EF146"/>
    <w:rsid w:val="2F1D9F1A"/>
    <w:rsid w:val="2F1E7204"/>
    <w:rsid w:val="2F3CA1B1"/>
    <w:rsid w:val="2F55DC18"/>
    <w:rsid w:val="2F55DFDE"/>
    <w:rsid w:val="2F66CE27"/>
    <w:rsid w:val="2F8202D3"/>
    <w:rsid w:val="2F85685A"/>
    <w:rsid w:val="2F9C2EFB"/>
    <w:rsid w:val="2FB78DAD"/>
    <w:rsid w:val="2FD1E047"/>
    <w:rsid w:val="2FF0D78A"/>
    <w:rsid w:val="3013FDCE"/>
    <w:rsid w:val="302154DC"/>
    <w:rsid w:val="30605CC3"/>
    <w:rsid w:val="30705980"/>
    <w:rsid w:val="307C30AE"/>
    <w:rsid w:val="30830627"/>
    <w:rsid w:val="30B3C4D2"/>
    <w:rsid w:val="30BBCB2F"/>
    <w:rsid w:val="30ECFA35"/>
    <w:rsid w:val="30F38176"/>
    <w:rsid w:val="312D7C02"/>
    <w:rsid w:val="31352B13"/>
    <w:rsid w:val="31598BAB"/>
    <w:rsid w:val="31614880"/>
    <w:rsid w:val="31852DAB"/>
    <w:rsid w:val="3199B330"/>
    <w:rsid w:val="319F80B4"/>
    <w:rsid w:val="31ACC09F"/>
    <w:rsid w:val="31CD9505"/>
    <w:rsid w:val="31D1C392"/>
    <w:rsid w:val="31ED3C3F"/>
    <w:rsid w:val="321704F0"/>
    <w:rsid w:val="3220707B"/>
    <w:rsid w:val="3221D38D"/>
    <w:rsid w:val="3225747D"/>
    <w:rsid w:val="32447468"/>
    <w:rsid w:val="3285DB83"/>
    <w:rsid w:val="329C7875"/>
    <w:rsid w:val="32A02885"/>
    <w:rsid w:val="32CBD11A"/>
    <w:rsid w:val="32D0FB74"/>
    <w:rsid w:val="32E45A97"/>
    <w:rsid w:val="32FE857A"/>
    <w:rsid w:val="3304905F"/>
    <w:rsid w:val="33136AEC"/>
    <w:rsid w:val="3321A406"/>
    <w:rsid w:val="3333C7EE"/>
    <w:rsid w:val="333CC66C"/>
    <w:rsid w:val="334E1C68"/>
    <w:rsid w:val="3358F59E"/>
    <w:rsid w:val="335907BD"/>
    <w:rsid w:val="336F6FB4"/>
    <w:rsid w:val="33818CBA"/>
    <w:rsid w:val="339962F2"/>
    <w:rsid w:val="339B92CD"/>
    <w:rsid w:val="33B88F79"/>
    <w:rsid w:val="33BB9CFE"/>
    <w:rsid w:val="33BD7F22"/>
    <w:rsid w:val="33CA0CC8"/>
    <w:rsid w:val="33F1E327"/>
    <w:rsid w:val="3408572F"/>
    <w:rsid w:val="342BAF8A"/>
    <w:rsid w:val="342CB64D"/>
    <w:rsid w:val="346CCBD5"/>
    <w:rsid w:val="34765595"/>
    <w:rsid w:val="349A55DB"/>
    <w:rsid w:val="349A92A5"/>
    <w:rsid w:val="34C66950"/>
    <w:rsid w:val="35219279"/>
    <w:rsid w:val="353F18DC"/>
    <w:rsid w:val="353FA11E"/>
    <w:rsid w:val="354B0D9C"/>
    <w:rsid w:val="355CDC88"/>
    <w:rsid w:val="356A0AC7"/>
    <w:rsid w:val="357DE2AA"/>
    <w:rsid w:val="35ABE335"/>
    <w:rsid w:val="35CD95F4"/>
    <w:rsid w:val="35D6A686"/>
    <w:rsid w:val="35D7D9A3"/>
    <w:rsid w:val="35E2B6B9"/>
    <w:rsid w:val="366D4949"/>
    <w:rsid w:val="36776E03"/>
    <w:rsid w:val="3680ABFC"/>
    <w:rsid w:val="3698E6A2"/>
    <w:rsid w:val="369F0A9A"/>
    <w:rsid w:val="36E0F3D3"/>
    <w:rsid w:val="3747B5FB"/>
    <w:rsid w:val="377131E8"/>
    <w:rsid w:val="3789EE35"/>
    <w:rsid w:val="37EA6FB6"/>
    <w:rsid w:val="37FB6250"/>
    <w:rsid w:val="38049BF0"/>
    <w:rsid w:val="384569E3"/>
    <w:rsid w:val="386A74B6"/>
    <w:rsid w:val="38EC71E7"/>
    <w:rsid w:val="390C0A3E"/>
    <w:rsid w:val="39900F87"/>
    <w:rsid w:val="39A52897"/>
    <w:rsid w:val="39A7B2D9"/>
    <w:rsid w:val="39B2F93F"/>
    <w:rsid w:val="39C0B31D"/>
    <w:rsid w:val="39FC6C31"/>
    <w:rsid w:val="39FF3637"/>
    <w:rsid w:val="3A27F3A8"/>
    <w:rsid w:val="3A301598"/>
    <w:rsid w:val="3A7AEF18"/>
    <w:rsid w:val="3A7C68A8"/>
    <w:rsid w:val="3A90EF4C"/>
    <w:rsid w:val="3A90FA20"/>
    <w:rsid w:val="3ABBFA15"/>
    <w:rsid w:val="3AF14D29"/>
    <w:rsid w:val="3AF7049B"/>
    <w:rsid w:val="3AF7720A"/>
    <w:rsid w:val="3B03730C"/>
    <w:rsid w:val="3B087420"/>
    <w:rsid w:val="3B0A2F9C"/>
    <w:rsid w:val="3B383B90"/>
    <w:rsid w:val="3B3C1CBA"/>
    <w:rsid w:val="3BB454C3"/>
    <w:rsid w:val="3BEE10BA"/>
    <w:rsid w:val="3C192E56"/>
    <w:rsid w:val="3C288E5B"/>
    <w:rsid w:val="3C2CBFAD"/>
    <w:rsid w:val="3C3DDA8A"/>
    <w:rsid w:val="3C547282"/>
    <w:rsid w:val="3C6B90BA"/>
    <w:rsid w:val="3C853444"/>
    <w:rsid w:val="3CE385BA"/>
    <w:rsid w:val="3D45BE3F"/>
    <w:rsid w:val="3D4B479A"/>
    <w:rsid w:val="3D56EB33"/>
    <w:rsid w:val="3D61C88A"/>
    <w:rsid w:val="3D68C51A"/>
    <w:rsid w:val="3DBF16A1"/>
    <w:rsid w:val="3DEAE53B"/>
    <w:rsid w:val="3DFA7DC7"/>
    <w:rsid w:val="3E09D5BE"/>
    <w:rsid w:val="3E401C57"/>
    <w:rsid w:val="3E96D823"/>
    <w:rsid w:val="3EB61FE6"/>
    <w:rsid w:val="3EBE8E2D"/>
    <w:rsid w:val="3EDCB7DD"/>
    <w:rsid w:val="3EF012F8"/>
    <w:rsid w:val="3F0878C4"/>
    <w:rsid w:val="3F45197C"/>
    <w:rsid w:val="3F4ABA75"/>
    <w:rsid w:val="3F53084B"/>
    <w:rsid w:val="3F5AB301"/>
    <w:rsid w:val="3F61D0FD"/>
    <w:rsid w:val="405228B3"/>
    <w:rsid w:val="405621B9"/>
    <w:rsid w:val="405A5E8E"/>
    <w:rsid w:val="409B925E"/>
    <w:rsid w:val="40C29EA7"/>
    <w:rsid w:val="40D44A74"/>
    <w:rsid w:val="40F558F4"/>
    <w:rsid w:val="4112133C"/>
    <w:rsid w:val="412A3E70"/>
    <w:rsid w:val="4130EA68"/>
    <w:rsid w:val="41A12DBE"/>
    <w:rsid w:val="41AB5E3E"/>
    <w:rsid w:val="41B3C73A"/>
    <w:rsid w:val="41D09AC0"/>
    <w:rsid w:val="41DD91E4"/>
    <w:rsid w:val="41EF3E73"/>
    <w:rsid w:val="41F89834"/>
    <w:rsid w:val="4274E4A9"/>
    <w:rsid w:val="429470F1"/>
    <w:rsid w:val="42ADE39D"/>
    <w:rsid w:val="42DD2609"/>
    <w:rsid w:val="42E2045C"/>
    <w:rsid w:val="42ED75A4"/>
    <w:rsid w:val="4324FD51"/>
    <w:rsid w:val="434156EE"/>
    <w:rsid w:val="4357DC96"/>
    <w:rsid w:val="4391CE36"/>
    <w:rsid w:val="43DC17E6"/>
    <w:rsid w:val="44172DF0"/>
    <w:rsid w:val="4428DCC3"/>
    <w:rsid w:val="442A6696"/>
    <w:rsid w:val="442BEEED"/>
    <w:rsid w:val="44832E14"/>
    <w:rsid w:val="44847441"/>
    <w:rsid w:val="448C03C3"/>
    <w:rsid w:val="449918E5"/>
    <w:rsid w:val="449F26BF"/>
    <w:rsid w:val="44C4EF84"/>
    <w:rsid w:val="451118A9"/>
    <w:rsid w:val="45279C5C"/>
    <w:rsid w:val="453FA3F9"/>
    <w:rsid w:val="454EBE89"/>
    <w:rsid w:val="455D8A35"/>
    <w:rsid w:val="456FD064"/>
    <w:rsid w:val="4571341B"/>
    <w:rsid w:val="457BE460"/>
    <w:rsid w:val="458FC785"/>
    <w:rsid w:val="459439D4"/>
    <w:rsid w:val="45AB940F"/>
    <w:rsid w:val="45C1073E"/>
    <w:rsid w:val="45CB03B6"/>
    <w:rsid w:val="45D457E5"/>
    <w:rsid w:val="45E57649"/>
    <w:rsid w:val="45F57CEE"/>
    <w:rsid w:val="46471EC7"/>
    <w:rsid w:val="4653D4B5"/>
    <w:rsid w:val="46628114"/>
    <w:rsid w:val="46B1BC3A"/>
    <w:rsid w:val="46BFF481"/>
    <w:rsid w:val="46F586C6"/>
    <w:rsid w:val="4713E2C2"/>
    <w:rsid w:val="471FBEDA"/>
    <w:rsid w:val="472CC932"/>
    <w:rsid w:val="473389E2"/>
    <w:rsid w:val="478636C7"/>
    <w:rsid w:val="478C296C"/>
    <w:rsid w:val="47A62E2D"/>
    <w:rsid w:val="47B06B67"/>
    <w:rsid w:val="47DDBF51"/>
    <w:rsid w:val="47F11E29"/>
    <w:rsid w:val="481B86C4"/>
    <w:rsid w:val="4846BB8E"/>
    <w:rsid w:val="4875650F"/>
    <w:rsid w:val="4876C1AC"/>
    <w:rsid w:val="48826518"/>
    <w:rsid w:val="48952AF7"/>
    <w:rsid w:val="48BBB843"/>
    <w:rsid w:val="48D1C73C"/>
    <w:rsid w:val="48E26B74"/>
    <w:rsid w:val="4904B6F0"/>
    <w:rsid w:val="49178674"/>
    <w:rsid w:val="49579F6F"/>
    <w:rsid w:val="495C0E03"/>
    <w:rsid w:val="49889180"/>
    <w:rsid w:val="49A14F98"/>
    <w:rsid w:val="49BB2494"/>
    <w:rsid w:val="49D3F8A1"/>
    <w:rsid w:val="49E69178"/>
    <w:rsid w:val="4A04893D"/>
    <w:rsid w:val="4A2AEF65"/>
    <w:rsid w:val="4A77284D"/>
    <w:rsid w:val="4A8757A7"/>
    <w:rsid w:val="4A8DEBB4"/>
    <w:rsid w:val="4AD6655C"/>
    <w:rsid w:val="4B22083B"/>
    <w:rsid w:val="4B4D4F8E"/>
    <w:rsid w:val="4B5734AC"/>
    <w:rsid w:val="4B5A2BD6"/>
    <w:rsid w:val="4BFD9EB4"/>
    <w:rsid w:val="4C2A475E"/>
    <w:rsid w:val="4C40A312"/>
    <w:rsid w:val="4C6A5E2B"/>
    <w:rsid w:val="4C7023E7"/>
    <w:rsid w:val="4C77ABCB"/>
    <w:rsid w:val="4C92CC3B"/>
    <w:rsid w:val="4CE02EC2"/>
    <w:rsid w:val="4D01A64E"/>
    <w:rsid w:val="4D16404E"/>
    <w:rsid w:val="4D4382A6"/>
    <w:rsid w:val="4D4F73BD"/>
    <w:rsid w:val="4D5D24CE"/>
    <w:rsid w:val="4DA90F35"/>
    <w:rsid w:val="4DC6FDB0"/>
    <w:rsid w:val="4E403EE9"/>
    <w:rsid w:val="4E446B8B"/>
    <w:rsid w:val="4E44CF3D"/>
    <w:rsid w:val="4E59251E"/>
    <w:rsid w:val="4E685248"/>
    <w:rsid w:val="4E774D9A"/>
    <w:rsid w:val="4E880900"/>
    <w:rsid w:val="4E8983CD"/>
    <w:rsid w:val="4ED3B845"/>
    <w:rsid w:val="4EDF5307"/>
    <w:rsid w:val="4F47E4E4"/>
    <w:rsid w:val="4F78E635"/>
    <w:rsid w:val="4F88E37D"/>
    <w:rsid w:val="4F9F926E"/>
    <w:rsid w:val="4FF13903"/>
    <w:rsid w:val="4FFA5E86"/>
    <w:rsid w:val="501228AE"/>
    <w:rsid w:val="5025542E"/>
    <w:rsid w:val="50583422"/>
    <w:rsid w:val="5059B310"/>
    <w:rsid w:val="508125DE"/>
    <w:rsid w:val="50BEC12B"/>
    <w:rsid w:val="518582EB"/>
    <w:rsid w:val="51CB385F"/>
    <w:rsid w:val="51E2E556"/>
    <w:rsid w:val="52028672"/>
    <w:rsid w:val="520BA385"/>
    <w:rsid w:val="5222E4E0"/>
    <w:rsid w:val="5233A544"/>
    <w:rsid w:val="525EDCEB"/>
    <w:rsid w:val="5275307D"/>
    <w:rsid w:val="52853037"/>
    <w:rsid w:val="52B36961"/>
    <w:rsid w:val="52BB7A0A"/>
    <w:rsid w:val="52F4E643"/>
    <w:rsid w:val="52FE8557"/>
    <w:rsid w:val="5315399B"/>
    <w:rsid w:val="531EBCF1"/>
    <w:rsid w:val="5344D619"/>
    <w:rsid w:val="5347E340"/>
    <w:rsid w:val="5348CDC4"/>
    <w:rsid w:val="5362245E"/>
    <w:rsid w:val="538981D9"/>
    <w:rsid w:val="538C16CA"/>
    <w:rsid w:val="53BBF956"/>
    <w:rsid w:val="53DD77F8"/>
    <w:rsid w:val="53E533E8"/>
    <w:rsid w:val="53EE2B8A"/>
    <w:rsid w:val="540FE7AB"/>
    <w:rsid w:val="541BC994"/>
    <w:rsid w:val="544154F9"/>
    <w:rsid w:val="544A3A50"/>
    <w:rsid w:val="54552F44"/>
    <w:rsid w:val="548A1337"/>
    <w:rsid w:val="54C93D6A"/>
    <w:rsid w:val="54C97D6C"/>
    <w:rsid w:val="54D35A56"/>
    <w:rsid w:val="54EF3DD7"/>
    <w:rsid w:val="5504F986"/>
    <w:rsid w:val="55264CD2"/>
    <w:rsid w:val="55368B2A"/>
    <w:rsid w:val="5559731F"/>
    <w:rsid w:val="555F19F4"/>
    <w:rsid w:val="556C63CF"/>
    <w:rsid w:val="55B513D3"/>
    <w:rsid w:val="55B82212"/>
    <w:rsid w:val="55C10E23"/>
    <w:rsid w:val="55EE3D2F"/>
    <w:rsid w:val="55FAB188"/>
    <w:rsid w:val="56202034"/>
    <w:rsid w:val="56395701"/>
    <w:rsid w:val="5640C43D"/>
    <w:rsid w:val="56443BD1"/>
    <w:rsid w:val="569A1A24"/>
    <w:rsid w:val="56C31C4D"/>
    <w:rsid w:val="56D0F195"/>
    <w:rsid w:val="56E3C9B1"/>
    <w:rsid w:val="571BD9E2"/>
    <w:rsid w:val="571D16CC"/>
    <w:rsid w:val="573EEC66"/>
    <w:rsid w:val="574FF17B"/>
    <w:rsid w:val="578AE7BF"/>
    <w:rsid w:val="57B8CA51"/>
    <w:rsid w:val="57B97955"/>
    <w:rsid w:val="57DD5EE5"/>
    <w:rsid w:val="57DF4B6F"/>
    <w:rsid w:val="57F65CC0"/>
    <w:rsid w:val="57FE02C6"/>
    <w:rsid w:val="580BC884"/>
    <w:rsid w:val="58165311"/>
    <w:rsid w:val="5831D606"/>
    <w:rsid w:val="58721320"/>
    <w:rsid w:val="587B49B2"/>
    <w:rsid w:val="587BD633"/>
    <w:rsid w:val="589A5DF8"/>
    <w:rsid w:val="58CC6486"/>
    <w:rsid w:val="58CE9A40"/>
    <w:rsid w:val="58EBC1DC"/>
    <w:rsid w:val="58FE05CA"/>
    <w:rsid w:val="5903B980"/>
    <w:rsid w:val="592E7647"/>
    <w:rsid w:val="594B1DC3"/>
    <w:rsid w:val="598AFADF"/>
    <w:rsid w:val="598B770C"/>
    <w:rsid w:val="59D04C39"/>
    <w:rsid w:val="59FADEC4"/>
    <w:rsid w:val="5A046B8F"/>
    <w:rsid w:val="5A0F9F51"/>
    <w:rsid w:val="5A3AD2B7"/>
    <w:rsid w:val="5A6F3D40"/>
    <w:rsid w:val="5A8A6DC2"/>
    <w:rsid w:val="5AAB3655"/>
    <w:rsid w:val="5AF1FF34"/>
    <w:rsid w:val="5B37F729"/>
    <w:rsid w:val="5B4B4AC8"/>
    <w:rsid w:val="5B4F7AD6"/>
    <w:rsid w:val="5B6DA36F"/>
    <w:rsid w:val="5B7920D9"/>
    <w:rsid w:val="5B8E2408"/>
    <w:rsid w:val="5B97D176"/>
    <w:rsid w:val="5BC4FA9B"/>
    <w:rsid w:val="5BC7452F"/>
    <w:rsid w:val="5C18A3D9"/>
    <w:rsid w:val="5C3B27B3"/>
    <w:rsid w:val="5C44B9B6"/>
    <w:rsid w:val="5C4ED665"/>
    <w:rsid w:val="5C62A01B"/>
    <w:rsid w:val="5C658025"/>
    <w:rsid w:val="5C76863A"/>
    <w:rsid w:val="5C801810"/>
    <w:rsid w:val="5C8BCB3C"/>
    <w:rsid w:val="5CAE8D68"/>
    <w:rsid w:val="5CBB36ED"/>
    <w:rsid w:val="5CE2D5D8"/>
    <w:rsid w:val="5CE48F3D"/>
    <w:rsid w:val="5CEF9A10"/>
    <w:rsid w:val="5D054729"/>
    <w:rsid w:val="5D0E1ADC"/>
    <w:rsid w:val="5D107785"/>
    <w:rsid w:val="5D1BDA76"/>
    <w:rsid w:val="5D454607"/>
    <w:rsid w:val="5D48EEE3"/>
    <w:rsid w:val="5D569ECA"/>
    <w:rsid w:val="5D617259"/>
    <w:rsid w:val="5D9F39E6"/>
    <w:rsid w:val="5DAA727D"/>
    <w:rsid w:val="5DEE682B"/>
    <w:rsid w:val="5DF0923A"/>
    <w:rsid w:val="5DFE2C7D"/>
    <w:rsid w:val="5E014E33"/>
    <w:rsid w:val="5E02321A"/>
    <w:rsid w:val="5E651685"/>
    <w:rsid w:val="5E8EBC11"/>
    <w:rsid w:val="5EB93CD8"/>
    <w:rsid w:val="5ED73D25"/>
    <w:rsid w:val="5EDC9BEC"/>
    <w:rsid w:val="5EF6F9D9"/>
    <w:rsid w:val="5F15708C"/>
    <w:rsid w:val="5F227A75"/>
    <w:rsid w:val="5F22A953"/>
    <w:rsid w:val="5FAB44C6"/>
    <w:rsid w:val="5FABE8F1"/>
    <w:rsid w:val="5FD5B1C1"/>
    <w:rsid w:val="5FEA66DF"/>
    <w:rsid w:val="6001B9B4"/>
    <w:rsid w:val="603C2C03"/>
    <w:rsid w:val="603DAA10"/>
    <w:rsid w:val="60732CDA"/>
    <w:rsid w:val="60734F13"/>
    <w:rsid w:val="60788CF4"/>
    <w:rsid w:val="60AA02F9"/>
    <w:rsid w:val="60B2250B"/>
    <w:rsid w:val="60EC14FC"/>
    <w:rsid w:val="61510007"/>
    <w:rsid w:val="616140B8"/>
    <w:rsid w:val="619FFDFC"/>
    <w:rsid w:val="61CD2DCA"/>
    <w:rsid w:val="6201AAF1"/>
    <w:rsid w:val="6211EDAF"/>
    <w:rsid w:val="621DCC8C"/>
    <w:rsid w:val="622B0B00"/>
    <w:rsid w:val="6288E914"/>
    <w:rsid w:val="62E38E4F"/>
    <w:rsid w:val="631FBF3E"/>
    <w:rsid w:val="632ABAD8"/>
    <w:rsid w:val="63532FE1"/>
    <w:rsid w:val="636C7266"/>
    <w:rsid w:val="63DCC691"/>
    <w:rsid w:val="6423B5BE"/>
    <w:rsid w:val="642A0B19"/>
    <w:rsid w:val="6462B34A"/>
    <w:rsid w:val="6465C9A5"/>
    <w:rsid w:val="64684BA0"/>
    <w:rsid w:val="648B8522"/>
    <w:rsid w:val="64A7DF79"/>
    <w:rsid w:val="64DE92D6"/>
    <w:rsid w:val="64E5B789"/>
    <w:rsid w:val="64E5C8BA"/>
    <w:rsid w:val="6535064E"/>
    <w:rsid w:val="65A59756"/>
    <w:rsid w:val="65A5E65A"/>
    <w:rsid w:val="65B270EA"/>
    <w:rsid w:val="65B775B2"/>
    <w:rsid w:val="660FED71"/>
    <w:rsid w:val="663276AF"/>
    <w:rsid w:val="663C164D"/>
    <w:rsid w:val="6642AF4B"/>
    <w:rsid w:val="6654CE2B"/>
    <w:rsid w:val="6690662C"/>
    <w:rsid w:val="66C8BC82"/>
    <w:rsid w:val="66EC6689"/>
    <w:rsid w:val="670F4C71"/>
    <w:rsid w:val="674599CA"/>
    <w:rsid w:val="674F41E4"/>
    <w:rsid w:val="677E963A"/>
    <w:rsid w:val="679FEC62"/>
    <w:rsid w:val="67A6A2CA"/>
    <w:rsid w:val="67B081F3"/>
    <w:rsid w:val="68439029"/>
    <w:rsid w:val="68625DC3"/>
    <w:rsid w:val="688836EA"/>
    <w:rsid w:val="68C03903"/>
    <w:rsid w:val="68C9CBD3"/>
    <w:rsid w:val="68D4062F"/>
    <w:rsid w:val="690E3CD9"/>
    <w:rsid w:val="69197330"/>
    <w:rsid w:val="691FA9A6"/>
    <w:rsid w:val="6927991F"/>
    <w:rsid w:val="692BC511"/>
    <w:rsid w:val="6953DC43"/>
    <w:rsid w:val="69774125"/>
    <w:rsid w:val="697FCBDF"/>
    <w:rsid w:val="69A32FF7"/>
    <w:rsid w:val="69ACF809"/>
    <w:rsid w:val="69D11F67"/>
    <w:rsid w:val="69ECB3D2"/>
    <w:rsid w:val="6A2BF4D1"/>
    <w:rsid w:val="6A5C0964"/>
    <w:rsid w:val="6A611010"/>
    <w:rsid w:val="6A647726"/>
    <w:rsid w:val="6A81A83E"/>
    <w:rsid w:val="6AA1E1A7"/>
    <w:rsid w:val="6AC15FB4"/>
    <w:rsid w:val="6AC9D7C6"/>
    <w:rsid w:val="6ADCBA74"/>
    <w:rsid w:val="6AE543D9"/>
    <w:rsid w:val="6AEFACA4"/>
    <w:rsid w:val="6B511A56"/>
    <w:rsid w:val="6B83F2C3"/>
    <w:rsid w:val="6BA166F3"/>
    <w:rsid w:val="6BB71380"/>
    <w:rsid w:val="6BC5232B"/>
    <w:rsid w:val="6BDC182D"/>
    <w:rsid w:val="6BE2BD94"/>
    <w:rsid w:val="6BE424F5"/>
    <w:rsid w:val="6C68C740"/>
    <w:rsid w:val="6C8444C9"/>
    <w:rsid w:val="6CA2009E"/>
    <w:rsid w:val="6CCD0353"/>
    <w:rsid w:val="6CD13A37"/>
    <w:rsid w:val="6CDC3145"/>
    <w:rsid w:val="6CF17B9C"/>
    <w:rsid w:val="6CF20245"/>
    <w:rsid w:val="6CF3132F"/>
    <w:rsid w:val="6D11E26C"/>
    <w:rsid w:val="6D25F82D"/>
    <w:rsid w:val="6D52BAA1"/>
    <w:rsid w:val="6D5E5229"/>
    <w:rsid w:val="6D629B52"/>
    <w:rsid w:val="6D7250DE"/>
    <w:rsid w:val="6D844EFD"/>
    <w:rsid w:val="6DA706BE"/>
    <w:rsid w:val="6DE21ED7"/>
    <w:rsid w:val="6DF60589"/>
    <w:rsid w:val="6E31509F"/>
    <w:rsid w:val="6E4DC637"/>
    <w:rsid w:val="6E8B15B0"/>
    <w:rsid w:val="6E8F48EC"/>
    <w:rsid w:val="6E92F22C"/>
    <w:rsid w:val="6E9618ED"/>
    <w:rsid w:val="6F1AA050"/>
    <w:rsid w:val="6F58EAEC"/>
    <w:rsid w:val="6F7FA891"/>
    <w:rsid w:val="6F9C8CAC"/>
    <w:rsid w:val="6FA9DADC"/>
    <w:rsid w:val="6FCDE632"/>
    <w:rsid w:val="6FDB995F"/>
    <w:rsid w:val="6FE682A9"/>
    <w:rsid w:val="7015A1BE"/>
    <w:rsid w:val="701A9448"/>
    <w:rsid w:val="704102FB"/>
    <w:rsid w:val="7050A5B8"/>
    <w:rsid w:val="70566852"/>
    <w:rsid w:val="70DEC8BE"/>
    <w:rsid w:val="71202C6F"/>
    <w:rsid w:val="71483BCA"/>
    <w:rsid w:val="71781AD2"/>
    <w:rsid w:val="7182530A"/>
    <w:rsid w:val="71864AB9"/>
    <w:rsid w:val="71B45FF2"/>
    <w:rsid w:val="71BD13C1"/>
    <w:rsid w:val="71EFAFC3"/>
    <w:rsid w:val="721B9895"/>
    <w:rsid w:val="722183D9"/>
    <w:rsid w:val="7257C02A"/>
    <w:rsid w:val="725F7506"/>
    <w:rsid w:val="7291F373"/>
    <w:rsid w:val="729DD3FB"/>
    <w:rsid w:val="729E8586"/>
    <w:rsid w:val="72DB90FC"/>
    <w:rsid w:val="733CFEB4"/>
    <w:rsid w:val="7345E850"/>
    <w:rsid w:val="735ADE3C"/>
    <w:rsid w:val="739A682D"/>
    <w:rsid w:val="73C3207B"/>
    <w:rsid w:val="73F52A7B"/>
    <w:rsid w:val="740FB1C5"/>
    <w:rsid w:val="741C8CA2"/>
    <w:rsid w:val="747673B2"/>
    <w:rsid w:val="748407C3"/>
    <w:rsid w:val="748DADDD"/>
    <w:rsid w:val="7499E5DE"/>
    <w:rsid w:val="74CBD565"/>
    <w:rsid w:val="74FD020C"/>
    <w:rsid w:val="75060A86"/>
    <w:rsid w:val="75080FA2"/>
    <w:rsid w:val="751575D5"/>
    <w:rsid w:val="758AB8B9"/>
    <w:rsid w:val="759281DA"/>
    <w:rsid w:val="75EF424E"/>
    <w:rsid w:val="75EFC6DB"/>
    <w:rsid w:val="75F1F89A"/>
    <w:rsid w:val="75F89B77"/>
    <w:rsid w:val="7622BA01"/>
    <w:rsid w:val="762B2B22"/>
    <w:rsid w:val="762F6FA1"/>
    <w:rsid w:val="76393BC5"/>
    <w:rsid w:val="76789E4A"/>
    <w:rsid w:val="76A1DAE7"/>
    <w:rsid w:val="76B0447F"/>
    <w:rsid w:val="76CC8B05"/>
    <w:rsid w:val="76DA7937"/>
    <w:rsid w:val="76EAE731"/>
    <w:rsid w:val="770A578F"/>
    <w:rsid w:val="774B9E76"/>
    <w:rsid w:val="778973B7"/>
    <w:rsid w:val="77C98F9E"/>
    <w:rsid w:val="77D50C26"/>
    <w:rsid w:val="780B8652"/>
    <w:rsid w:val="7823F805"/>
    <w:rsid w:val="782618DE"/>
    <w:rsid w:val="7875D568"/>
    <w:rsid w:val="78A6483A"/>
    <w:rsid w:val="78BD3470"/>
    <w:rsid w:val="78C06ACB"/>
    <w:rsid w:val="78C1409C"/>
    <w:rsid w:val="78F2F8E3"/>
    <w:rsid w:val="79266ADF"/>
    <w:rsid w:val="794124FC"/>
    <w:rsid w:val="795B3571"/>
    <w:rsid w:val="796D77C9"/>
    <w:rsid w:val="79743C92"/>
    <w:rsid w:val="799AFEB5"/>
    <w:rsid w:val="7A5C24D2"/>
    <w:rsid w:val="7A765832"/>
    <w:rsid w:val="7A973CA7"/>
    <w:rsid w:val="7A9AE05F"/>
    <w:rsid w:val="7AB17F9A"/>
    <w:rsid w:val="7AC11479"/>
    <w:rsid w:val="7AD98B57"/>
    <w:rsid w:val="7AF935D1"/>
    <w:rsid w:val="7B16339D"/>
    <w:rsid w:val="7B6CA2F9"/>
    <w:rsid w:val="7BB1BBE2"/>
    <w:rsid w:val="7BC89837"/>
    <w:rsid w:val="7BDF5CCC"/>
    <w:rsid w:val="7BE433DA"/>
    <w:rsid w:val="7BF095CA"/>
    <w:rsid w:val="7C11C6CD"/>
    <w:rsid w:val="7C25DFF7"/>
    <w:rsid w:val="7C3A0ED9"/>
    <w:rsid w:val="7C5527BF"/>
    <w:rsid w:val="7C608456"/>
    <w:rsid w:val="7C70F415"/>
    <w:rsid w:val="7C7A79FF"/>
    <w:rsid w:val="7CADECFC"/>
    <w:rsid w:val="7CC5AF57"/>
    <w:rsid w:val="7D00DC8B"/>
    <w:rsid w:val="7D67F391"/>
    <w:rsid w:val="7D9C9F45"/>
    <w:rsid w:val="7D9F52CF"/>
    <w:rsid w:val="7DDFF012"/>
    <w:rsid w:val="7DF48B9C"/>
    <w:rsid w:val="7DFDFD61"/>
    <w:rsid w:val="7E09FA89"/>
    <w:rsid w:val="7E47ADB5"/>
    <w:rsid w:val="7E798C69"/>
    <w:rsid w:val="7EA2C04F"/>
    <w:rsid w:val="7F04CB30"/>
    <w:rsid w:val="7F0B59C0"/>
    <w:rsid w:val="7F198F61"/>
    <w:rsid w:val="7F1D612D"/>
    <w:rsid w:val="7F6B5158"/>
    <w:rsid w:val="7F7B5D3F"/>
    <w:rsid w:val="7F954EEA"/>
    <w:rsid w:val="7F9A9009"/>
    <w:rsid w:val="7FAE7747"/>
    <w:rsid w:val="7FCA62E6"/>
    <w:rsid w:val="7FD64F39"/>
    <w:rsid w:val="7FD968A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FC8B3"/>
  <w15:chartTrackingRefBased/>
  <w15:docId w15:val="{768F4104-561E-4FB1-9803-45E2ACFE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83D55"/>
  </w:style>
  <w:style w:type="paragraph" w:styleId="Pealkiri3">
    <w:name w:val="heading 3"/>
    <w:basedOn w:val="Normaallaad"/>
    <w:link w:val="Pealkiri3Mrk"/>
    <w:uiPriority w:val="9"/>
    <w:qFormat/>
    <w:rsid w:val="000A63EC"/>
    <w:pPr>
      <w:spacing w:before="240"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83D55"/>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PisMrk">
    <w:name w:val="Päis Märk"/>
    <w:basedOn w:val="Liguvaikefont"/>
    <w:link w:val="Pis"/>
    <w:uiPriority w:val="99"/>
    <w:rsid w:val="00B83D55"/>
    <w:rPr>
      <w:rFonts w:ascii="Times New Roman" w:eastAsia="Times New Roman" w:hAnsi="Times New Roman" w:cs="Times New Roman"/>
      <w:sz w:val="24"/>
      <w:szCs w:val="24"/>
      <w:lang w:val="en-GB"/>
    </w:rPr>
  </w:style>
  <w:style w:type="table" w:styleId="Kontuurtabel">
    <w:name w:val="Table Grid"/>
    <w:basedOn w:val="Normaaltabel"/>
    <w:uiPriority w:val="39"/>
    <w:rsid w:val="00B8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uiPriority w:val="99"/>
    <w:rsid w:val="00B83D55"/>
    <w:pPr>
      <w:spacing w:after="0" w:line="240" w:lineRule="auto"/>
      <w:jc w:val="center"/>
    </w:pPr>
    <w:rPr>
      <w:rFonts w:ascii="Times New Roman" w:eastAsia="Times New Roman" w:hAnsi="Times New Roman" w:cs="Times New Roman"/>
      <w:b/>
      <w:bCs/>
      <w:sz w:val="28"/>
      <w:szCs w:val="28"/>
    </w:rPr>
  </w:style>
  <w:style w:type="character" w:customStyle="1" w:styleId="KehatekstMrk">
    <w:name w:val="Kehatekst Märk"/>
    <w:basedOn w:val="Liguvaikefont"/>
    <w:link w:val="Kehatekst"/>
    <w:uiPriority w:val="99"/>
    <w:rsid w:val="00B83D55"/>
    <w:rPr>
      <w:rFonts w:ascii="Times New Roman" w:eastAsia="Times New Roman" w:hAnsi="Times New Roman" w:cs="Times New Roman"/>
      <w:b/>
      <w:bCs/>
      <w:sz w:val="28"/>
      <w:szCs w:val="28"/>
    </w:rPr>
  </w:style>
  <w:style w:type="paragraph" w:customStyle="1" w:styleId="Default">
    <w:name w:val="Default"/>
    <w:rsid w:val="00B83D55"/>
    <w:pPr>
      <w:autoSpaceDE w:val="0"/>
      <w:autoSpaceDN w:val="0"/>
      <w:adjustRightInd w:val="0"/>
      <w:spacing w:after="0" w:line="240" w:lineRule="auto"/>
    </w:pPr>
    <w:rPr>
      <w:rFonts w:ascii="Arial" w:hAnsi="Arial" w:cs="Arial"/>
      <w:color w:val="000000"/>
      <w:sz w:val="24"/>
      <w:szCs w:val="24"/>
    </w:rPr>
  </w:style>
  <w:style w:type="character" w:customStyle="1" w:styleId="Pealkiri3Mrk">
    <w:name w:val="Pealkiri 3 Märk"/>
    <w:basedOn w:val="Liguvaikefont"/>
    <w:link w:val="Pealkiri3"/>
    <w:uiPriority w:val="9"/>
    <w:rsid w:val="000A63EC"/>
    <w:rPr>
      <w:rFonts w:ascii="Times New Roman" w:eastAsia="Times New Roman" w:hAnsi="Times New Roman" w:cs="Times New Roman"/>
      <w:b/>
      <w:bCs/>
      <w:sz w:val="27"/>
      <w:szCs w:val="27"/>
      <w:lang w:eastAsia="et-EE"/>
    </w:rPr>
  </w:style>
  <w:style w:type="paragraph" w:styleId="Normaallaadveeb">
    <w:name w:val="Normal (Web)"/>
    <w:basedOn w:val="Normaallaad"/>
    <w:uiPriority w:val="99"/>
    <w:semiHidden/>
    <w:unhideWhenUsed/>
    <w:rsid w:val="000A63EC"/>
    <w:pPr>
      <w:spacing w:before="240"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0A63EC"/>
    <w:rPr>
      <w:b/>
      <w:bCs/>
    </w:rPr>
  </w:style>
  <w:style w:type="paragraph" w:styleId="Lihttekst">
    <w:name w:val="Plain Text"/>
    <w:basedOn w:val="Normaallaad"/>
    <w:link w:val="LihttekstMrk"/>
    <w:uiPriority w:val="99"/>
    <w:unhideWhenUsed/>
    <w:rsid w:val="00A24AB3"/>
    <w:pPr>
      <w:spacing w:after="0" w:line="240" w:lineRule="auto"/>
    </w:pPr>
    <w:rPr>
      <w:rFonts w:ascii="Consolas" w:hAnsi="Consolas"/>
      <w:sz w:val="21"/>
      <w:szCs w:val="21"/>
    </w:rPr>
  </w:style>
  <w:style w:type="character" w:customStyle="1" w:styleId="LihttekstMrk">
    <w:name w:val="Lihttekst Märk"/>
    <w:basedOn w:val="Liguvaikefont"/>
    <w:link w:val="Lihttekst"/>
    <w:uiPriority w:val="99"/>
    <w:rsid w:val="00A24AB3"/>
    <w:rPr>
      <w:rFonts w:ascii="Consolas" w:hAnsi="Consolas"/>
      <w:sz w:val="21"/>
      <w:szCs w:val="21"/>
    </w:rPr>
  </w:style>
  <w:style w:type="paragraph" w:styleId="Loendilik">
    <w:name w:val="List Paragraph"/>
    <w:basedOn w:val="Normaallaad"/>
    <w:uiPriority w:val="34"/>
    <w:qFormat/>
    <w:rsid w:val="00154F9D"/>
    <w:pPr>
      <w:ind w:left="720"/>
      <w:contextualSpacing/>
    </w:pPr>
  </w:style>
  <w:style w:type="character" w:styleId="Hperlink">
    <w:name w:val="Hyperlink"/>
    <w:basedOn w:val="Liguvaikefont"/>
    <w:uiPriority w:val="99"/>
    <w:semiHidden/>
    <w:unhideWhenUsed/>
    <w:rsid w:val="004D481B"/>
    <w:rPr>
      <w:color w:val="0563C1"/>
      <w:u w:val="single"/>
    </w:rPr>
  </w:style>
  <w:style w:type="character" w:styleId="Klastatudhperlink">
    <w:name w:val="FollowedHyperlink"/>
    <w:basedOn w:val="Liguvaikefont"/>
    <w:uiPriority w:val="99"/>
    <w:semiHidden/>
    <w:unhideWhenUsed/>
    <w:rsid w:val="004D481B"/>
    <w:rPr>
      <w:color w:val="954F72" w:themeColor="followedHyperlink"/>
      <w:u w:val="single"/>
    </w:rPr>
  </w:style>
  <w:style w:type="paragraph" w:styleId="Jutumullitekst">
    <w:name w:val="Balloon Text"/>
    <w:basedOn w:val="Normaallaad"/>
    <w:link w:val="JutumullitekstMrk"/>
    <w:uiPriority w:val="99"/>
    <w:semiHidden/>
    <w:unhideWhenUsed/>
    <w:rsid w:val="0026443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64437"/>
    <w:rPr>
      <w:rFonts w:ascii="Segoe UI" w:hAnsi="Segoe UI" w:cs="Segoe UI"/>
      <w:sz w:val="18"/>
      <w:szCs w:val="18"/>
    </w:rPr>
  </w:style>
  <w:style w:type="paragraph" w:customStyle="1" w:styleId="Standard">
    <w:name w:val="Standard"/>
    <w:rsid w:val="00AD44DF"/>
    <w:pPr>
      <w:widowControl w:val="0"/>
      <w:suppressAutoHyphens/>
      <w:autoSpaceDN w:val="0"/>
      <w:spacing w:after="0" w:line="276" w:lineRule="auto"/>
      <w:textAlignment w:val="baseline"/>
    </w:pPr>
    <w:rPr>
      <w:rFonts w:ascii="Arial" w:eastAsia="Arial" w:hAnsi="Arial" w:cs="Arial"/>
      <w:lang w:eastAsia="zh-CN" w:bidi="hi-IN"/>
    </w:rPr>
  </w:style>
  <w:style w:type="paragraph" w:styleId="Jalus">
    <w:name w:val="footer"/>
    <w:basedOn w:val="Normaallaad"/>
    <w:link w:val="JalusMrk"/>
    <w:uiPriority w:val="99"/>
    <w:unhideWhenUsed/>
    <w:rsid w:val="00BB6264"/>
    <w:pPr>
      <w:tabs>
        <w:tab w:val="center" w:pos="4536"/>
        <w:tab w:val="right" w:pos="9072"/>
      </w:tabs>
      <w:spacing w:after="0" w:line="240" w:lineRule="auto"/>
    </w:pPr>
  </w:style>
  <w:style w:type="character" w:customStyle="1" w:styleId="JalusMrk">
    <w:name w:val="Jalus Märk"/>
    <w:basedOn w:val="Liguvaikefont"/>
    <w:link w:val="Jalus"/>
    <w:uiPriority w:val="99"/>
    <w:rsid w:val="00BB6264"/>
  </w:style>
  <w:style w:type="character" w:styleId="Kommentaariviide">
    <w:name w:val="annotation reference"/>
    <w:basedOn w:val="Liguvaikefont"/>
    <w:uiPriority w:val="99"/>
    <w:semiHidden/>
    <w:unhideWhenUsed/>
    <w:rsid w:val="00BB6264"/>
    <w:rPr>
      <w:sz w:val="16"/>
      <w:szCs w:val="16"/>
    </w:rPr>
  </w:style>
  <w:style w:type="paragraph" w:styleId="Kommentaaritekst">
    <w:name w:val="annotation text"/>
    <w:basedOn w:val="Normaallaad"/>
    <w:link w:val="KommentaaritekstMrk"/>
    <w:uiPriority w:val="99"/>
    <w:unhideWhenUsed/>
    <w:rsid w:val="00BB6264"/>
    <w:pPr>
      <w:spacing w:line="240" w:lineRule="auto"/>
    </w:pPr>
    <w:rPr>
      <w:sz w:val="20"/>
      <w:szCs w:val="20"/>
    </w:rPr>
  </w:style>
  <w:style w:type="character" w:customStyle="1" w:styleId="KommentaaritekstMrk">
    <w:name w:val="Kommentaari tekst Märk"/>
    <w:basedOn w:val="Liguvaikefont"/>
    <w:link w:val="Kommentaaritekst"/>
    <w:uiPriority w:val="99"/>
    <w:rsid w:val="00BB6264"/>
    <w:rPr>
      <w:sz w:val="20"/>
      <w:szCs w:val="20"/>
    </w:rPr>
  </w:style>
  <w:style w:type="paragraph" w:styleId="Kommentaariteema">
    <w:name w:val="annotation subject"/>
    <w:basedOn w:val="Kommentaaritekst"/>
    <w:next w:val="Kommentaaritekst"/>
    <w:link w:val="KommentaariteemaMrk"/>
    <w:uiPriority w:val="99"/>
    <w:semiHidden/>
    <w:unhideWhenUsed/>
    <w:rsid w:val="00BB6264"/>
    <w:rPr>
      <w:b/>
      <w:bCs/>
    </w:rPr>
  </w:style>
  <w:style w:type="character" w:customStyle="1" w:styleId="KommentaariteemaMrk">
    <w:name w:val="Kommentaari teema Märk"/>
    <w:basedOn w:val="KommentaaritekstMrk"/>
    <w:link w:val="Kommentaariteema"/>
    <w:uiPriority w:val="99"/>
    <w:semiHidden/>
    <w:rsid w:val="00BB6264"/>
    <w:rPr>
      <w:b/>
      <w:bCs/>
      <w:sz w:val="20"/>
      <w:szCs w:val="20"/>
    </w:rPr>
  </w:style>
  <w:style w:type="paragraph" w:styleId="Allmrkusetekst">
    <w:name w:val="footnote text"/>
    <w:basedOn w:val="Normaallaad"/>
    <w:link w:val="AllmrkusetekstMrk"/>
    <w:uiPriority w:val="99"/>
    <w:semiHidden/>
    <w:unhideWhenUsed/>
    <w:rsid w:val="00DB6D9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B6D9C"/>
    <w:rPr>
      <w:sz w:val="20"/>
      <w:szCs w:val="20"/>
    </w:rPr>
  </w:style>
  <w:style w:type="character" w:styleId="Allmrkuseviide">
    <w:name w:val="footnote reference"/>
    <w:basedOn w:val="Liguvaikefont"/>
    <w:uiPriority w:val="99"/>
    <w:semiHidden/>
    <w:unhideWhenUsed/>
    <w:rsid w:val="00DB6D9C"/>
    <w:rPr>
      <w:vertAlign w:val="superscript"/>
    </w:rPr>
  </w:style>
  <w:style w:type="character" w:customStyle="1" w:styleId="tyhik">
    <w:name w:val="tyhik"/>
    <w:basedOn w:val="Liguvaikefont"/>
    <w:rsid w:val="00776BD1"/>
  </w:style>
  <w:style w:type="numbering" w:customStyle="1" w:styleId="ImportedStyle1">
    <w:name w:val="Imported Style 1"/>
    <w:rsid w:val="008F490E"/>
    <w:pPr>
      <w:numPr>
        <w:numId w:val="1"/>
      </w:numPr>
    </w:pPr>
  </w:style>
  <w:style w:type="paragraph" w:customStyle="1" w:styleId="Body">
    <w:name w:val="Body"/>
    <w:rsid w:val="008F490E"/>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t-EE"/>
      <w14:textOutline w14:w="0" w14:cap="flat" w14:cmpd="sng" w14:algn="ctr">
        <w14:noFill/>
        <w14:prstDash w14:val="solid"/>
        <w14:bevel/>
      </w14:textOutline>
    </w:rPr>
  </w:style>
  <w:style w:type="paragraph" w:styleId="Redaktsioon">
    <w:name w:val="Revision"/>
    <w:hidden/>
    <w:uiPriority w:val="99"/>
    <w:semiHidden/>
    <w:rsid w:val="005F3AC6"/>
    <w:pPr>
      <w:spacing w:after="0" w:line="240" w:lineRule="auto"/>
    </w:pPr>
  </w:style>
  <w:style w:type="character" w:customStyle="1" w:styleId="cf01">
    <w:name w:val="cf01"/>
    <w:basedOn w:val="Liguvaikefont"/>
    <w:rsid w:val="006F4B6D"/>
    <w:rPr>
      <w:rFonts w:ascii="Segoe UI" w:hAnsi="Segoe UI" w:cs="Segoe UI" w:hint="default"/>
      <w:sz w:val="18"/>
      <w:szCs w:val="18"/>
    </w:rPr>
  </w:style>
  <w:style w:type="character" w:styleId="Mainimine">
    <w:name w:val="Mention"/>
    <w:basedOn w:val="Liguvaikefont"/>
    <w:uiPriority w:val="99"/>
    <w:unhideWhenUsed/>
    <w:rsid w:val="000E28C9"/>
    <w:rPr>
      <w:color w:val="2B579A"/>
      <w:shd w:val="clear" w:color="auto" w:fill="E1DFDD"/>
    </w:rPr>
  </w:style>
  <w:style w:type="paragraph" w:customStyle="1" w:styleId="pf0">
    <w:name w:val="pf0"/>
    <w:basedOn w:val="Normaallaad"/>
    <w:rsid w:val="00CC4D9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11">
    <w:name w:val="cf11"/>
    <w:basedOn w:val="Liguvaikefont"/>
    <w:rsid w:val="007A1F6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1128">
      <w:bodyDiv w:val="1"/>
      <w:marLeft w:val="0"/>
      <w:marRight w:val="0"/>
      <w:marTop w:val="0"/>
      <w:marBottom w:val="0"/>
      <w:divBdr>
        <w:top w:val="none" w:sz="0" w:space="0" w:color="auto"/>
        <w:left w:val="none" w:sz="0" w:space="0" w:color="auto"/>
        <w:bottom w:val="none" w:sz="0" w:space="0" w:color="auto"/>
        <w:right w:val="none" w:sz="0" w:space="0" w:color="auto"/>
      </w:divBdr>
    </w:div>
    <w:div w:id="6249866">
      <w:bodyDiv w:val="1"/>
      <w:marLeft w:val="0"/>
      <w:marRight w:val="0"/>
      <w:marTop w:val="0"/>
      <w:marBottom w:val="0"/>
      <w:divBdr>
        <w:top w:val="none" w:sz="0" w:space="0" w:color="auto"/>
        <w:left w:val="none" w:sz="0" w:space="0" w:color="auto"/>
        <w:bottom w:val="none" w:sz="0" w:space="0" w:color="auto"/>
        <w:right w:val="none" w:sz="0" w:space="0" w:color="auto"/>
      </w:divBdr>
    </w:div>
    <w:div w:id="12808418">
      <w:bodyDiv w:val="1"/>
      <w:marLeft w:val="0"/>
      <w:marRight w:val="0"/>
      <w:marTop w:val="0"/>
      <w:marBottom w:val="0"/>
      <w:divBdr>
        <w:top w:val="none" w:sz="0" w:space="0" w:color="auto"/>
        <w:left w:val="none" w:sz="0" w:space="0" w:color="auto"/>
        <w:bottom w:val="none" w:sz="0" w:space="0" w:color="auto"/>
        <w:right w:val="none" w:sz="0" w:space="0" w:color="auto"/>
      </w:divBdr>
    </w:div>
    <w:div w:id="187061058">
      <w:bodyDiv w:val="1"/>
      <w:marLeft w:val="0"/>
      <w:marRight w:val="0"/>
      <w:marTop w:val="0"/>
      <w:marBottom w:val="0"/>
      <w:divBdr>
        <w:top w:val="none" w:sz="0" w:space="0" w:color="auto"/>
        <w:left w:val="none" w:sz="0" w:space="0" w:color="auto"/>
        <w:bottom w:val="none" w:sz="0" w:space="0" w:color="auto"/>
        <w:right w:val="none" w:sz="0" w:space="0" w:color="auto"/>
      </w:divBdr>
    </w:div>
    <w:div w:id="294063360">
      <w:bodyDiv w:val="1"/>
      <w:marLeft w:val="0"/>
      <w:marRight w:val="0"/>
      <w:marTop w:val="0"/>
      <w:marBottom w:val="0"/>
      <w:divBdr>
        <w:top w:val="none" w:sz="0" w:space="0" w:color="auto"/>
        <w:left w:val="none" w:sz="0" w:space="0" w:color="auto"/>
        <w:bottom w:val="none" w:sz="0" w:space="0" w:color="auto"/>
        <w:right w:val="none" w:sz="0" w:space="0" w:color="auto"/>
      </w:divBdr>
    </w:div>
    <w:div w:id="631524011">
      <w:bodyDiv w:val="1"/>
      <w:marLeft w:val="0"/>
      <w:marRight w:val="0"/>
      <w:marTop w:val="0"/>
      <w:marBottom w:val="0"/>
      <w:divBdr>
        <w:top w:val="none" w:sz="0" w:space="0" w:color="auto"/>
        <w:left w:val="none" w:sz="0" w:space="0" w:color="auto"/>
        <w:bottom w:val="none" w:sz="0" w:space="0" w:color="auto"/>
        <w:right w:val="none" w:sz="0" w:space="0" w:color="auto"/>
      </w:divBdr>
    </w:div>
    <w:div w:id="646712952">
      <w:bodyDiv w:val="1"/>
      <w:marLeft w:val="0"/>
      <w:marRight w:val="0"/>
      <w:marTop w:val="0"/>
      <w:marBottom w:val="0"/>
      <w:divBdr>
        <w:top w:val="none" w:sz="0" w:space="0" w:color="auto"/>
        <w:left w:val="none" w:sz="0" w:space="0" w:color="auto"/>
        <w:bottom w:val="none" w:sz="0" w:space="0" w:color="auto"/>
        <w:right w:val="none" w:sz="0" w:space="0" w:color="auto"/>
      </w:divBdr>
    </w:div>
    <w:div w:id="691077631">
      <w:bodyDiv w:val="1"/>
      <w:marLeft w:val="0"/>
      <w:marRight w:val="0"/>
      <w:marTop w:val="0"/>
      <w:marBottom w:val="0"/>
      <w:divBdr>
        <w:top w:val="none" w:sz="0" w:space="0" w:color="auto"/>
        <w:left w:val="none" w:sz="0" w:space="0" w:color="auto"/>
        <w:bottom w:val="none" w:sz="0" w:space="0" w:color="auto"/>
        <w:right w:val="none" w:sz="0" w:space="0" w:color="auto"/>
      </w:divBdr>
    </w:div>
    <w:div w:id="726295205">
      <w:bodyDiv w:val="1"/>
      <w:marLeft w:val="0"/>
      <w:marRight w:val="0"/>
      <w:marTop w:val="0"/>
      <w:marBottom w:val="0"/>
      <w:divBdr>
        <w:top w:val="none" w:sz="0" w:space="0" w:color="auto"/>
        <w:left w:val="none" w:sz="0" w:space="0" w:color="auto"/>
        <w:bottom w:val="none" w:sz="0" w:space="0" w:color="auto"/>
        <w:right w:val="none" w:sz="0" w:space="0" w:color="auto"/>
      </w:divBdr>
    </w:div>
    <w:div w:id="739789322">
      <w:bodyDiv w:val="1"/>
      <w:marLeft w:val="0"/>
      <w:marRight w:val="0"/>
      <w:marTop w:val="0"/>
      <w:marBottom w:val="0"/>
      <w:divBdr>
        <w:top w:val="none" w:sz="0" w:space="0" w:color="auto"/>
        <w:left w:val="none" w:sz="0" w:space="0" w:color="auto"/>
        <w:bottom w:val="none" w:sz="0" w:space="0" w:color="auto"/>
        <w:right w:val="none" w:sz="0" w:space="0" w:color="auto"/>
      </w:divBdr>
      <w:divsChild>
        <w:div w:id="1839730103">
          <w:marLeft w:val="0"/>
          <w:marRight w:val="0"/>
          <w:marTop w:val="0"/>
          <w:marBottom w:val="0"/>
          <w:divBdr>
            <w:top w:val="none" w:sz="0" w:space="0" w:color="auto"/>
            <w:left w:val="none" w:sz="0" w:space="0" w:color="auto"/>
            <w:bottom w:val="none" w:sz="0" w:space="0" w:color="auto"/>
            <w:right w:val="none" w:sz="0" w:space="0" w:color="auto"/>
          </w:divBdr>
          <w:divsChild>
            <w:div w:id="2058316330">
              <w:marLeft w:val="0"/>
              <w:marRight w:val="0"/>
              <w:marTop w:val="0"/>
              <w:marBottom w:val="0"/>
              <w:divBdr>
                <w:top w:val="none" w:sz="0" w:space="0" w:color="auto"/>
                <w:left w:val="none" w:sz="0" w:space="0" w:color="auto"/>
                <w:bottom w:val="none" w:sz="0" w:space="0" w:color="auto"/>
                <w:right w:val="none" w:sz="0" w:space="0" w:color="auto"/>
              </w:divBdr>
              <w:divsChild>
                <w:div w:id="773011770">
                  <w:marLeft w:val="0"/>
                  <w:marRight w:val="0"/>
                  <w:marTop w:val="0"/>
                  <w:marBottom w:val="0"/>
                  <w:divBdr>
                    <w:top w:val="none" w:sz="0" w:space="0" w:color="auto"/>
                    <w:left w:val="none" w:sz="0" w:space="0" w:color="auto"/>
                    <w:bottom w:val="none" w:sz="0" w:space="0" w:color="auto"/>
                    <w:right w:val="none" w:sz="0" w:space="0" w:color="auto"/>
                  </w:divBdr>
                  <w:divsChild>
                    <w:div w:id="70126570">
                      <w:marLeft w:val="0"/>
                      <w:marRight w:val="0"/>
                      <w:marTop w:val="0"/>
                      <w:marBottom w:val="0"/>
                      <w:divBdr>
                        <w:top w:val="none" w:sz="0" w:space="0" w:color="auto"/>
                        <w:left w:val="none" w:sz="0" w:space="0" w:color="auto"/>
                        <w:bottom w:val="none" w:sz="0" w:space="0" w:color="auto"/>
                        <w:right w:val="none" w:sz="0" w:space="0" w:color="auto"/>
                      </w:divBdr>
                      <w:divsChild>
                        <w:div w:id="1290823567">
                          <w:marLeft w:val="0"/>
                          <w:marRight w:val="0"/>
                          <w:marTop w:val="0"/>
                          <w:marBottom w:val="0"/>
                          <w:divBdr>
                            <w:top w:val="none" w:sz="0" w:space="0" w:color="auto"/>
                            <w:left w:val="none" w:sz="0" w:space="0" w:color="auto"/>
                            <w:bottom w:val="none" w:sz="0" w:space="0" w:color="auto"/>
                            <w:right w:val="none" w:sz="0" w:space="0" w:color="auto"/>
                          </w:divBdr>
                          <w:divsChild>
                            <w:div w:id="19155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080160">
      <w:bodyDiv w:val="1"/>
      <w:marLeft w:val="0"/>
      <w:marRight w:val="0"/>
      <w:marTop w:val="0"/>
      <w:marBottom w:val="0"/>
      <w:divBdr>
        <w:top w:val="none" w:sz="0" w:space="0" w:color="auto"/>
        <w:left w:val="none" w:sz="0" w:space="0" w:color="auto"/>
        <w:bottom w:val="none" w:sz="0" w:space="0" w:color="auto"/>
        <w:right w:val="none" w:sz="0" w:space="0" w:color="auto"/>
      </w:divBdr>
    </w:div>
    <w:div w:id="795372485">
      <w:bodyDiv w:val="1"/>
      <w:marLeft w:val="0"/>
      <w:marRight w:val="0"/>
      <w:marTop w:val="0"/>
      <w:marBottom w:val="0"/>
      <w:divBdr>
        <w:top w:val="none" w:sz="0" w:space="0" w:color="auto"/>
        <w:left w:val="none" w:sz="0" w:space="0" w:color="auto"/>
        <w:bottom w:val="none" w:sz="0" w:space="0" w:color="auto"/>
        <w:right w:val="none" w:sz="0" w:space="0" w:color="auto"/>
      </w:divBdr>
      <w:divsChild>
        <w:div w:id="2012249865">
          <w:marLeft w:val="0"/>
          <w:marRight w:val="0"/>
          <w:marTop w:val="0"/>
          <w:marBottom w:val="0"/>
          <w:divBdr>
            <w:top w:val="none" w:sz="0" w:space="0" w:color="auto"/>
            <w:left w:val="none" w:sz="0" w:space="0" w:color="auto"/>
            <w:bottom w:val="none" w:sz="0" w:space="0" w:color="auto"/>
            <w:right w:val="none" w:sz="0" w:space="0" w:color="auto"/>
          </w:divBdr>
          <w:divsChild>
            <w:div w:id="867597804">
              <w:marLeft w:val="0"/>
              <w:marRight w:val="0"/>
              <w:marTop w:val="0"/>
              <w:marBottom w:val="0"/>
              <w:divBdr>
                <w:top w:val="none" w:sz="0" w:space="0" w:color="auto"/>
                <w:left w:val="none" w:sz="0" w:space="0" w:color="auto"/>
                <w:bottom w:val="none" w:sz="0" w:space="0" w:color="auto"/>
                <w:right w:val="none" w:sz="0" w:space="0" w:color="auto"/>
              </w:divBdr>
              <w:divsChild>
                <w:div w:id="1396004137">
                  <w:marLeft w:val="0"/>
                  <w:marRight w:val="0"/>
                  <w:marTop w:val="0"/>
                  <w:marBottom w:val="0"/>
                  <w:divBdr>
                    <w:top w:val="none" w:sz="0" w:space="0" w:color="auto"/>
                    <w:left w:val="none" w:sz="0" w:space="0" w:color="auto"/>
                    <w:bottom w:val="none" w:sz="0" w:space="0" w:color="auto"/>
                    <w:right w:val="none" w:sz="0" w:space="0" w:color="auto"/>
                  </w:divBdr>
                  <w:divsChild>
                    <w:div w:id="1708291386">
                      <w:marLeft w:val="0"/>
                      <w:marRight w:val="0"/>
                      <w:marTop w:val="0"/>
                      <w:marBottom w:val="0"/>
                      <w:divBdr>
                        <w:top w:val="none" w:sz="0" w:space="0" w:color="auto"/>
                        <w:left w:val="none" w:sz="0" w:space="0" w:color="auto"/>
                        <w:bottom w:val="none" w:sz="0" w:space="0" w:color="auto"/>
                        <w:right w:val="none" w:sz="0" w:space="0" w:color="auto"/>
                      </w:divBdr>
                      <w:divsChild>
                        <w:div w:id="2084253618">
                          <w:marLeft w:val="0"/>
                          <w:marRight w:val="0"/>
                          <w:marTop w:val="0"/>
                          <w:marBottom w:val="0"/>
                          <w:divBdr>
                            <w:top w:val="none" w:sz="0" w:space="0" w:color="auto"/>
                            <w:left w:val="none" w:sz="0" w:space="0" w:color="auto"/>
                            <w:bottom w:val="none" w:sz="0" w:space="0" w:color="auto"/>
                            <w:right w:val="none" w:sz="0" w:space="0" w:color="auto"/>
                          </w:divBdr>
                          <w:divsChild>
                            <w:div w:id="13068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37145">
      <w:bodyDiv w:val="1"/>
      <w:marLeft w:val="0"/>
      <w:marRight w:val="0"/>
      <w:marTop w:val="0"/>
      <w:marBottom w:val="0"/>
      <w:divBdr>
        <w:top w:val="none" w:sz="0" w:space="0" w:color="auto"/>
        <w:left w:val="none" w:sz="0" w:space="0" w:color="auto"/>
        <w:bottom w:val="none" w:sz="0" w:space="0" w:color="auto"/>
        <w:right w:val="none" w:sz="0" w:space="0" w:color="auto"/>
      </w:divBdr>
    </w:div>
    <w:div w:id="1037582875">
      <w:bodyDiv w:val="1"/>
      <w:marLeft w:val="0"/>
      <w:marRight w:val="0"/>
      <w:marTop w:val="0"/>
      <w:marBottom w:val="0"/>
      <w:divBdr>
        <w:top w:val="none" w:sz="0" w:space="0" w:color="auto"/>
        <w:left w:val="none" w:sz="0" w:space="0" w:color="auto"/>
        <w:bottom w:val="none" w:sz="0" w:space="0" w:color="auto"/>
        <w:right w:val="none" w:sz="0" w:space="0" w:color="auto"/>
      </w:divBdr>
    </w:div>
    <w:div w:id="1198540923">
      <w:bodyDiv w:val="1"/>
      <w:marLeft w:val="0"/>
      <w:marRight w:val="0"/>
      <w:marTop w:val="0"/>
      <w:marBottom w:val="0"/>
      <w:divBdr>
        <w:top w:val="none" w:sz="0" w:space="0" w:color="auto"/>
        <w:left w:val="none" w:sz="0" w:space="0" w:color="auto"/>
        <w:bottom w:val="none" w:sz="0" w:space="0" w:color="auto"/>
        <w:right w:val="none" w:sz="0" w:space="0" w:color="auto"/>
      </w:divBdr>
    </w:div>
    <w:div w:id="1258126768">
      <w:bodyDiv w:val="1"/>
      <w:marLeft w:val="0"/>
      <w:marRight w:val="0"/>
      <w:marTop w:val="0"/>
      <w:marBottom w:val="0"/>
      <w:divBdr>
        <w:top w:val="none" w:sz="0" w:space="0" w:color="auto"/>
        <w:left w:val="none" w:sz="0" w:space="0" w:color="auto"/>
        <w:bottom w:val="none" w:sz="0" w:space="0" w:color="auto"/>
        <w:right w:val="none" w:sz="0" w:space="0" w:color="auto"/>
      </w:divBdr>
    </w:div>
    <w:div w:id="1269701808">
      <w:bodyDiv w:val="1"/>
      <w:marLeft w:val="0"/>
      <w:marRight w:val="0"/>
      <w:marTop w:val="0"/>
      <w:marBottom w:val="0"/>
      <w:divBdr>
        <w:top w:val="none" w:sz="0" w:space="0" w:color="auto"/>
        <w:left w:val="none" w:sz="0" w:space="0" w:color="auto"/>
        <w:bottom w:val="none" w:sz="0" w:space="0" w:color="auto"/>
        <w:right w:val="none" w:sz="0" w:space="0" w:color="auto"/>
      </w:divBdr>
      <w:divsChild>
        <w:div w:id="1520854826">
          <w:marLeft w:val="0"/>
          <w:marRight w:val="0"/>
          <w:marTop w:val="0"/>
          <w:marBottom w:val="0"/>
          <w:divBdr>
            <w:top w:val="none" w:sz="0" w:space="0" w:color="auto"/>
            <w:left w:val="none" w:sz="0" w:space="0" w:color="auto"/>
            <w:bottom w:val="none" w:sz="0" w:space="0" w:color="auto"/>
            <w:right w:val="none" w:sz="0" w:space="0" w:color="auto"/>
          </w:divBdr>
          <w:divsChild>
            <w:div w:id="1673336292">
              <w:marLeft w:val="0"/>
              <w:marRight w:val="0"/>
              <w:marTop w:val="0"/>
              <w:marBottom w:val="0"/>
              <w:divBdr>
                <w:top w:val="none" w:sz="0" w:space="0" w:color="auto"/>
                <w:left w:val="none" w:sz="0" w:space="0" w:color="auto"/>
                <w:bottom w:val="none" w:sz="0" w:space="0" w:color="auto"/>
                <w:right w:val="none" w:sz="0" w:space="0" w:color="auto"/>
              </w:divBdr>
              <w:divsChild>
                <w:div w:id="487720109">
                  <w:marLeft w:val="0"/>
                  <w:marRight w:val="0"/>
                  <w:marTop w:val="0"/>
                  <w:marBottom w:val="0"/>
                  <w:divBdr>
                    <w:top w:val="none" w:sz="0" w:space="0" w:color="auto"/>
                    <w:left w:val="none" w:sz="0" w:space="0" w:color="auto"/>
                    <w:bottom w:val="none" w:sz="0" w:space="0" w:color="auto"/>
                    <w:right w:val="none" w:sz="0" w:space="0" w:color="auto"/>
                  </w:divBdr>
                  <w:divsChild>
                    <w:div w:id="1267422598">
                      <w:marLeft w:val="0"/>
                      <w:marRight w:val="0"/>
                      <w:marTop w:val="0"/>
                      <w:marBottom w:val="0"/>
                      <w:divBdr>
                        <w:top w:val="none" w:sz="0" w:space="0" w:color="auto"/>
                        <w:left w:val="none" w:sz="0" w:space="0" w:color="auto"/>
                        <w:bottom w:val="none" w:sz="0" w:space="0" w:color="auto"/>
                        <w:right w:val="none" w:sz="0" w:space="0" w:color="auto"/>
                      </w:divBdr>
                      <w:divsChild>
                        <w:div w:id="2128087276">
                          <w:marLeft w:val="0"/>
                          <w:marRight w:val="0"/>
                          <w:marTop w:val="0"/>
                          <w:marBottom w:val="0"/>
                          <w:divBdr>
                            <w:top w:val="none" w:sz="0" w:space="0" w:color="auto"/>
                            <w:left w:val="none" w:sz="0" w:space="0" w:color="auto"/>
                            <w:bottom w:val="none" w:sz="0" w:space="0" w:color="auto"/>
                            <w:right w:val="none" w:sz="0" w:space="0" w:color="auto"/>
                          </w:divBdr>
                          <w:divsChild>
                            <w:div w:id="201768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90551">
      <w:bodyDiv w:val="1"/>
      <w:marLeft w:val="0"/>
      <w:marRight w:val="0"/>
      <w:marTop w:val="0"/>
      <w:marBottom w:val="0"/>
      <w:divBdr>
        <w:top w:val="none" w:sz="0" w:space="0" w:color="auto"/>
        <w:left w:val="none" w:sz="0" w:space="0" w:color="auto"/>
        <w:bottom w:val="none" w:sz="0" w:space="0" w:color="auto"/>
        <w:right w:val="none" w:sz="0" w:space="0" w:color="auto"/>
      </w:divBdr>
    </w:div>
    <w:div w:id="1319454679">
      <w:bodyDiv w:val="1"/>
      <w:marLeft w:val="0"/>
      <w:marRight w:val="0"/>
      <w:marTop w:val="0"/>
      <w:marBottom w:val="0"/>
      <w:divBdr>
        <w:top w:val="none" w:sz="0" w:space="0" w:color="auto"/>
        <w:left w:val="none" w:sz="0" w:space="0" w:color="auto"/>
        <w:bottom w:val="none" w:sz="0" w:space="0" w:color="auto"/>
        <w:right w:val="none" w:sz="0" w:space="0" w:color="auto"/>
      </w:divBdr>
    </w:div>
    <w:div w:id="1416977590">
      <w:bodyDiv w:val="1"/>
      <w:marLeft w:val="0"/>
      <w:marRight w:val="0"/>
      <w:marTop w:val="0"/>
      <w:marBottom w:val="0"/>
      <w:divBdr>
        <w:top w:val="none" w:sz="0" w:space="0" w:color="auto"/>
        <w:left w:val="none" w:sz="0" w:space="0" w:color="auto"/>
        <w:bottom w:val="none" w:sz="0" w:space="0" w:color="auto"/>
        <w:right w:val="none" w:sz="0" w:space="0" w:color="auto"/>
      </w:divBdr>
    </w:div>
    <w:div w:id="1421222344">
      <w:bodyDiv w:val="1"/>
      <w:marLeft w:val="0"/>
      <w:marRight w:val="0"/>
      <w:marTop w:val="0"/>
      <w:marBottom w:val="0"/>
      <w:divBdr>
        <w:top w:val="none" w:sz="0" w:space="0" w:color="auto"/>
        <w:left w:val="none" w:sz="0" w:space="0" w:color="auto"/>
        <w:bottom w:val="none" w:sz="0" w:space="0" w:color="auto"/>
        <w:right w:val="none" w:sz="0" w:space="0" w:color="auto"/>
      </w:divBdr>
    </w:div>
    <w:div w:id="1423914062">
      <w:bodyDiv w:val="1"/>
      <w:marLeft w:val="0"/>
      <w:marRight w:val="0"/>
      <w:marTop w:val="0"/>
      <w:marBottom w:val="0"/>
      <w:divBdr>
        <w:top w:val="none" w:sz="0" w:space="0" w:color="auto"/>
        <w:left w:val="none" w:sz="0" w:space="0" w:color="auto"/>
        <w:bottom w:val="none" w:sz="0" w:space="0" w:color="auto"/>
        <w:right w:val="none" w:sz="0" w:space="0" w:color="auto"/>
      </w:divBdr>
    </w:div>
    <w:div w:id="1480852522">
      <w:bodyDiv w:val="1"/>
      <w:marLeft w:val="0"/>
      <w:marRight w:val="0"/>
      <w:marTop w:val="0"/>
      <w:marBottom w:val="0"/>
      <w:divBdr>
        <w:top w:val="none" w:sz="0" w:space="0" w:color="auto"/>
        <w:left w:val="none" w:sz="0" w:space="0" w:color="auto"/>
        <w:bottom w:val="none" w:sz="0" w:space="0" w:color="auto"/>
        <w:right w:val="none" w:sz="0" w:space="0" w:color="auto"/>
      </w:divBdr>
    </w:div>
    <w:div w:id="1507092776">
      <w:bodyDiv w:val="1"/>
      <w:marLeft w:val="0"/>
      <w:marRight w:val="0"/>
      <w:marTop w:val="0"/>
      <w:marBottom w:val="0"/>
      <w:divBdr>
        <w:top w:val="none" w:sz="0" w:space="0" w:color="auto"/>
        <w:left w:val="none" w:sz="0" w:space="0" w:color="auto"/>
        <w:bottom w:val="none" w:sz="0" w:space="0" w:color="auto"/>
        <w:right w:val="none" w:sz="0" w:space="0" w:color="auto"/>
      </w:divBdr>
    </w:div>
    <w:div w:id="1554806366">
      <w:bodyDiv w:val="1"/>
      <w:marLeft w:val="0"/>
      <w:marRight w:val="0"/>
      <w:marTop w:val="0"/>
      <w:marBottom w:val="0"/>
      <w:divBdr>
        <w:top w:val="none" w:sz="0" w:space="0" w:color="auto"/>
        <w:left w:val="none" w:sz="0" w:space="0" w:color="auto"/>
        <w:bottom w:val="none" w:sz="0" w:space="0" w:color="auto"/>
        <w:right w:val="none" w:sz="0" w:space="0" w:color="auto"/>
      </w:divBdr>
    </w:div>
    <w:div w:id="1560750631">
      <w:bodyDiv w:val="1"/>
      <w:marLeft w:val="0"/>
      <w:marRight w:val="0"/>
      <w:marTop w:val="0"/>
      <w:marBottom w:val="0"/>
      <w:divBdr>
        <w:top w:val="none" w:sz="0" w:space="0" w:color="auto"/>
        <w:left w:val="none" w:sz="0" w:space="0" w:color="auto"/>
        <w:bottom w:val="none" w:sz="0" w:space="0" w:color="auto"/>
        <w:right w:val="none" w:sz="0" w:space="0" w:color="auto"/>
      </w:divBdr>
    </w:div>
    <w:div w:id="1672368957">
      <w:bodyDiv w:val="1"/>
      <w:marLeft w:val="0"/>
      <w:marRight w:val="0"/>
      <w:marTop w:val="0"/>
      <w:marBottom w:val="0"/>
      <w:divBdr>
        <w:top w:val="none" w:sz="0" w:space="0" w:color="auto"/>
        <w:left w:val="none" w:sz="0" w:space="0" w:color="auto"/>
        <w:bottom w:val="none" w:sz="0" w:space="0" w:color="auto"/>
        <w:right w:val="none" w:sz="0" w:space="0" w:color="auto"/>
      </w:divBdr>
    </w:div>
    <w:div w:id="1702435334">
      <w:bodyDiv w:val="1"/>
      <w:marLeft w:val="0"/>
      <w:marRight w:val="0"/>
      <w:marTop w:val="0"/>
      <w:marBottom w:val="0"/>
      <w:divBdr>
        <w:top w:val="none" w:sz="0" w:space="0" w:color="auto"/>
        <w:left w:val="none" w:sz="0" w:space="0" w:color="auto"/>
        <w:bottom w:val="none" w:sz="0" w:space="0" w:color="auto"/>
        <w:right w:val="none" w:sz="0" w:space="0" w:color="auto"/>
      </w:divBdr>
    </w:div>
    <w:div w:id="1719889587">
      <w:bodyDiv w:val="1"/>
      <w:marLeft w:val="0"/>
      <w:marRight w:val="0"/>
      <w:marTop w:val="0"/>
      <w:marBottom w:val="0"/>
      <w:divBdr>
        <w:top w:val="none" w:sz="0" w:space="0" w:color="auto"/>
        <w:left w:val="none" w:sz="0" w:space="0" w:color="auto"/>
        <w:bottom w:val="none" w:sz="0" w:space="0" w:color="auto"/>
        <w:right w:val="none" w:sz="0" w:space="0" w:color="auto"/>
      </w:divBdr>
      <w:divsChild>
        <w:div w:id="374693927">
          <w:marLeft w:val="0"/>
          <w:marRight w:val="0"/>
          <w:marTop w:val="0"/>
          <w:marBottom w:val="0"/>
          <w:divBdr>
            <w:top w:val="none" w:sz="0" w:space="0" w:color="auto"/>
            <w:left w:val="none" w:sz="0" w:space="0" w:color="auto"/>
            <w:bottom w:val="none" w:sz="0" w:space="0" w:color="auto"/>
            <w:right w:val="none" w:sz="0" w:space="0" w:color="auto"/>
          </w:divBdr>
          <w:divsChild>
            <w:div w:id="1992708102">
              <w:marLeft w:val="0"/>
              <w:marRight w:val="0"/>
              <w:marTop w:val="0"/>
              <w:marBottom w:val="0"/>
              <w:divBdr>
                <w:top w:val="none" w:sz="0" w:space="0" w:color="auto"/>
                <w:left w:val="none" w:sz="0" w:space="0" w:color="auto"/>
                <w:bottom w:val="none" w:sz="0" w:space="0" w:color="auto"/>
                <w:right w:val="none" w:sz="0" w:space="0" w:color="auto"/>
              </w:divBdr>
              <w:divsChild>
                <w:div w:id="1169253893">
                  <w:marLeft w:val="0"/>
                  <w:marRight w:val="0"/>
                  <w:marTop w:val="0"/>
                  <w:marBottom w:val="0"/>
                  <w:divBdr>
                    <w:top w:val="none" w:sz="0" w:space="0" w:color="auto"/>
                    <w:left w:val="none" w:sz="0" w:space="0" w:color="auto"/>
                    <w:bottom w:val="none" w:sz="0" w:space="0" w:color="auto"/>
                    <w:right w:val="none" w:sz="0" w:space="0" w:color="auto"/>
                  </w:divBdr>
                  <w:divsChild>
                    <w:div w:id="9583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4072">
      <w:bodyDiv w:val="1"/>
      <w:marLeft w:val="0"/>
      <w:marRight w:val="0"/>
      <w:marTop w:val="0"/>
      <w:marBottom w:val="0"/>
      <w:divBdr>
        <w:top w:val="none" w:sz="0" w:space="0" w:color="auto"/>
        <w:left w:val="none" w:sz="0" w:space="0" w:color="auto"/>
        <w:bottom w:val="none" w:sz="0" w:space="0" w:color="auto"/>
        <w:right w:val="none" w:sz="0" w:space="0" w:color="auto"/>
      </w:divBdr>
    </w:div>
    <w:div w:id="1816406629">
      <w:bodyDiv w:val="1"/>
      <w:marLeft w:val="0"/>
      <w:marRight w:val="0"/>
      <w:marTop w:val="0"/>
      <w:marBottom w:val="0"/>
      <w:divBdr>
        <w:top w:val="none" w:sz="0" w:space="0" w:color="auto"/>
        <w:left w:val="none" w:sz="0" w:space="0" w:color="auto"/>
        <w:bottom w:val="none" w:sz="0" w:space="0" w:color="auto"/>
        <w:right w:val="none" w:sz="0" w:space="0" w:color="auto"/>
      </w:divBdr>
    </w:div>
    <w:div w:id="1907060134">
      <w:bodyDiv w:val="1"/>
      <w:marLeft w:val="0"/>
      <w:marRight w:val="0"/>
      <w:marTop w:val="0"/>
      <w:marBottom w:val="0"/>
      <w:divBdr>
        <w:top w:val="none" w:sz="0" w:space="0" w:color="auto"/>
        <w:left w:val="none" w:sz="0" w:space="0" w:color="auto"/>
        <w:bottom w:val="none" w:sz="0" w:space="0" w:color="auto"/>
        <w:right w:val="none" w:sz="0" w:space="0" w:color="auto"/>
      </w:divBdr>
    </w:div>
    <w:div w:id="1920360534">
      <w:bodyDiv w:val="1"/>
      <w:marLeft w:val="0"/>
      <w:marRight w:val="0"/>
      <w:marTop w:val="0"/>
      <w:marBottom w:val="0"/>
      <w:divBdr>
        <w:top w:val="none" w:sz="0" w:space="0" w:color="auto"/>
        <w:left w:val="none" w:sz="0" w:space="0" w:color="auto"/>
        <w:bottom w:val="none" w:sz="0" w:space="0" w:color="auto"/>
        <w:right w:val="none" w:sz="0" w:space="0" w:color="auto"/>
      </w:divBdr>
    </w:div>
    <w:div w:id="2017146357">
      <w:bodyDiv w:val="1"/>
      <w:marLeft w:val="0"/>
      <w:marRight w:val="0"/>
      <w:marTop w:val="0"/>
      <w:marBottom w:val="0"/>
      <w:divBdr>
        <w:top w:val="none" w:sz="0" w:space="0" w:color="auto"/>
        <w:left w:val="none" w:sz="0" w:space="0" w:color="auto"/>
        <w:bottom w:val="none" w:sz="0" w:space="0" w:color="auto"/>
        <w:right w:val="none" w:sz="0" w:space="0" w:color="auto"/>
      </w:divBdr>
    </w:div>
    <w:div w:id="2038921686">
      <w:bodyDiv w:val="1"/>
      <w:marLeft w:val="0"/>
      <w:marRight w:val="0"/>
      <w:marTop w:val="0"/>
      <w:marBottom w:val="0"/>
      <w:divBdr>
        <w:top w:val="none" w:sz="0" w:space="0" w:color="auto"/>
        <w:left w:val="none" w:sz="0" w:space="0" w:color="auto"/>
        <w:bottom w:val="none" w:sz="0" w:space="0" w:color="auto"/>
        <w:right w:val="none" w:sz="0" w:space="0" w:color="auto"/>
      </w:divBdr>
    </w:div>
    <w:div w:id="2061784936">
      <w:bodyDiv w:val="1"/>
      <w:marLeft w:val="0"/>
      <w:marRight w:val="0"/>
      <w:marTop w:val="0"/>
      <w:marBottom w:val="0"/>
      <w:divBdr>
        <w:top w:val="none" w:sz="0" w:space="0" w:color="auto"/>
        <w:left w:val="none" w:sz="0" w:space="0" w:color="auto"/>
        <w:bottom w:val="none" w:sz="0" w:space="0" w:color="auto"/>
        <w:right w:val="none" w:sz="0" w:space="0" w:color="auto"/>
      </w:divBdr>
    </w:div>
    <w:div w:id="2120830246">
      <w:bodyDiv w:val="1"/>
      <w:marLeft w:val="0"/>
      <w:marRight w:val="0"/>
      <w:marTop w:val="0"/>
      <w:marBottom w:val="0"/>
      <w:divBdr>
        <w:top w:val="none" w:sz="0" w:space="0" w:color="auto"/>
        <w:left w:val="none" w:sz="0" w:space="0" w:color="auto"/>
        <w:bottom w:val="none" w:sz="0" w:space="0" w:color="auto"/>
        <w:right w:val="none" w:sz="0" w:space="0" w:color="auto"/>
      </w:divBdr>
      <w:divsChild>
        <w:div w:id="618269046">
          <w:marLeft w:val="0"/>
          <w:marRight w:val="0"/>
          <w:marTop w:val="0"/>
          <w:marBottom w:val="0"/>
          <w:divBdr>
            <w:top w:val="none" w:sz="0" w:space="0" w:color="auto"/>
            <w:left w:val="none" w:sz="0" w:space="0" w:color="auto"/>
            <w:bottom w:val="none" w:sz="0" w:space="0" w:color="auto"/>
            <w:right w:val="none" w:sz="0" w:space="0" w:color="auto"/>
          </w:divBdr>
          <w:divsChild>
            <w:div w:id="848180349">
              <w:marLeft w:val="0"/>
              <w:marRight w:val="0"/>
              <w:marTop w:val="0"/>
              <w:marBottom w:val="0"/>
              <w:divBdr>
                <w:top w:val="none" w:sz="0" w:space="0" w:color="auto"/>
                <w:left w:val="none" w:sz="0" w:space="0" w:color="auto"/>
                <w:bottom w:val="none" w:sz="0" w:space="0" w:color="auto"/>
                <w:right w:val="none" w:sz="0" w:space="0" w:color="auto"/>
              </w:divBdr>
              <w:divsChild>
                <w:div w:id="1489900433">
                  <w:marLeft w:val="0"/>
                  <w:marRight w:val="0"/>
                  <w:marTop w:val="0"/>
                  <w:marBottom w:val="0"/>
                  <w:divBdr>
                    <w:top w:val="none" w:sz="0" w:space="0" w:color="auto"/>
                    <w:left w:val="none" w:sz="0" w:space="0" w:color="auto"/>
                    <w:bottom w:val="none" w:sz="0" w:space="0" w:color="auto"/>
                    <w:right w:val="none" w:sz="0" w:space="0" w:color="auto"/>
                  </w:divBdr>
                  <w:divsChild>
                    <w:div w:id="2046127791">
                      <w:marLeft w:val="0"/>
                      <w:marRight w:val="0"/>
                      <w:marTop w:val="0"/>
                      <w:marBottom w:val="0"/>
                      <w:divBdr>
                        <w:top w:val="none" w:sz="0" w:space="0" w:color="auto"/>
                        <w:left w:val="none" w:sz="0" w:space="0" w:color="auto"/>
                        <w:bottom w:val="none" w:sz="0" w:space="0" w:color="auto"/>
                        <w:right w:val="none" w:sz="0" w:space="0" w:color="auto"/>
                      </w:divBdr>
                      <w:divsChild>
                        <w:div w:id="1737164680">
                          <w:marLeft w:val="0"/>
                          <w:marRight w:val="0"/>
                          <w:marTop w:val="0"/>
                          <w:marBottom w:val="0"/>
                          <w:divBdr>
                            <w:top w:val="none" w:sz="0" w:space="0" w:color="auto"/>
                            <w:left w:val="none" w:sz="0" w:space="0" w:color="auto"/>
                            <w:bottom w:val="none" w:sz="0" w:space="0" w:color="auto"/>
                            <w:right w:val="none" w:sz="0" w:space="0" w:color="auto"/>
                          </w:divBdr>
                          <w:divsChild>
                            <w:div w:id="13260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9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footnotes.xml.rels><?xml version="1.0" encoding="UTF-8" standalone="yes"?>
<Relationships xmlns="http://schemas.openxmlformats.org/package/2006/relationships"><Relationship Id="rId3" Type="http://schemas.openxmlformats.org/officeDocument/2006/relationships/hyperlink" Target="https://eelnoud.valitsus.ee/main/mount/docList/f26d8568-3786-4f71-9c5c-56f03901b8de" TargetMode="External"/><Relationship Id="rId2" Type="http://schemas.openxmlformats.org/officeDocument/2006/relationships/hyperlink" Target="https://ec.europa.eu/commission/presscorner/detail/en/IP_24_4567" TargetMode="External"/><Relationship Id="rId1" Type="http://schemas.openxmlformats.org/officeDocument/2006/relationships/hyperlink" Target="https://windeurope.org/newsroom/press-releases/uk-awards-5-3-gw-of-new-offshore-wind-and-990-mw-of-new-onshore-wind/" TargetMode="External"/><Relationship Id="rId4" Type="http://schemas.openxmlformats.org/officeDocument/2006/relationships/hyperlink" Target="https://planeerimine.ee/aktid-ja-kohtulahendid/orme-planeerimine/kas-valida-uldplaneering-voi-kohaliku-omavalitsuse-eriplaneering-kui-soovitakse-kavandada-olulise-ruumilise-mojuga-ehitist/" TargetMode="External"/></Relationships>
</file>

<file path=word/documenttasks/documenttasks1.xml><?xml version="1.0" encoding="utf-8"?>
<t:Tasks xmlns:t="http://schemas.microsoft.com/office/tasks/2019/documenttasks" xmlns:oel="http://schemas.microsoft.com/office/2019/extlst">
  <t:Task id="{1D9DB4B4-698A-46BD-92CD-365A26476BBE}">
    <t:Anchor>
      <t:Comment id="1692280177"/>
    </t:Anchor>
    <t:History>
      <t:Event id="{A3C2FB6E-5684-4E9D-83B7-D1167333C8EF}" time="2024-10-07T06:08:03.552Z">
        <t:Attribution userId="S::birgitta.ots@elering.ee::12593614-b3e5-480a-ba12-e2e09b9a8fbb" userProvider="AD" userName="Birgitta Ots"/>
        <t:Anchor>
          <t:Comment id="355089814"/>
        </t:Anchor>
        <t:Create/>
      </t:Event>
      <t:Event id="{28CBB1D7-B505-42E8-A5BE-6027A550EA9A}" time="2024-10-07T06:08:03.552Z">
        <t:Attribution userId="S::birgitta.ots@elering.ee::12593614-b3e5-480a-ba12-e2e09b9a8fbb" userProvider="AD" userName="Birgitta Ots"/>
        <t:Anchor>
          <t:Comment id="355089814"/>
        </t:Anchor>
        <t:Assign userId="S::tuuli.hansen@elering.ee::b1f931ce-c824-4782-a061-3dea248f3f5e" userProvider="AD" userName="Tuuli Hansen"/>
      </t:Event>
      <t:Event id="{BCDC26C7-7C89-4198-B1BD-14A1E6346168}" time="2024-10-07T06:08:03.552Z">
        <t:Attribution userId="S::birgitta.ots@elering.ee::12593614-b3e5-480a-ba12-e2e09b9a8fbb" userProvider="AD" userName="Birgitta Ots"/>
        <t:Anchor>
          <t:Comment id="355089814"/>
        </t:Anchor>
        <t:SetTitle title="@Tuuli Hansen paneks et &quot;Tasakaalustamisteenuse toomine turule tootmisvõimsuse lisandumisega samal ajal tagab ergutava mõju olemasolu, mis on riigiabi loa eelduseks ning aitab tasandada taastuvenergia tootmisest tingitud bilansikõikumisi."/>
      </t:Event>
      <t:Event id="{B556D7F1-CB61-47BB-A870-97EE1FC28D6E}" time="2024-10-07T13:04:47.79Z">
        <t:Attribution userId="S::tuuli.hansen@elering.ee::b1f931ce-c824-4782-a061-3dea248f3f5e" userProvider="AD" userName="Tuuli Hansen"/>
        <t:Progress percentComplete="100"/>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171246-32d2-460d-9acf-d76ba4243d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78E1BADFD31468B2C83DAC10F624F" ma:contentTypeVersion="15" ma:contentTypeDescription="Create a new document." ma:contentTypeScope="" ma:versionID="59a00aa4499c49e8bc00487b170df116">
  <xsd:schema xmlns:xsd="http://www.w3.org/2001/XMLSchema" xmlns:xs="http://www.w3.org/2001/XMLSchema" xmlns:p="http://schemas.microsoft.com/office/2006/metadata/properties" xmlns:ns3="40171246-32d2-460d-9acf-d76ba4243db1" xmlns:ns4="5c588d6c-77ac-46f5-a10c-549a71aff4fc" targetNamespace="http://schemas.microsoft.com/office/2006/metadata/properties" ma:root="true" ma:fieldsID="9a093dc4fcef2cfb4699471ce1dee62f" ns3:_="" ns4:_="">
    <xsd:import namespace="40171246-32d2-460d-9acf-d76ba4243db1"/>
    <xsd:import namespace="5c588d6c-77ac-46f5-a10c-549a71aff4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71246-32d2-460d-9acf-d76ba4243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588d6c-77ac-46f5-a10c-549a71aff4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69732-3979-4C7F-B2D9-C6E18B9EAA98}">
  <ds:schemaRefs>
    <ds:schemaRef ds:uri="40171246-32d2-460d-9acf-d76ba4243db1"/>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5c588d6c-77ac-46f5-a10c-549a71aff4fc"/>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75C404B-630A-4C21-9832-7AC90B567990}">
  <ds:schemaRefs>
    <ds:schemaRef ds:uri="http://schemas.microsoft.com/sharepoint/v3/contenttype/forms"/>
  </ds:schemaRefs>
</ds:datastoreItem>
</file>

<file path=customXml/itemProps3.xml><?xml version="1.0" encoding="utf-8"?>
<ds:datastoreItem xmlns:ds="http://schemas.openxmlformats.org/officeDocument/2006/customXml" ds:itemID="{C2316681-0844-46A1-A8B3-C12723998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71246-32d2-460d-9acf-d76ba4243db1"/>
    <ds:schemaRef ds:uri="5c588d6c-77ac-46f5-a10c-549a71aff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32E60D-E6BD-4ED3-A758-CDE11846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56</Pages>
  <Words>22267</Words>
  <Characters>129149</Characters>
  <Application>Microsoft Office Word</Application>
  <DocSecurity>0</DocSecurity>
  <Lines>1076</Lines>
  <Paragraphs>302</Paragraphs>
  <ScaleCrop>false</ScaleCrop>
  <HeadingPairs>
    <vt:vector size="2" baseType="variant">
      <vt:variant>
        <vt:lpstr>Pealkiri</vt:lpstr>
      </vt:variant>
      <vt:variant>
        <vt:i4>1</vt:i4>
      </vt:variant>
    </vt:vector>
  </HeadingPairs>
  <TitlesOfParts>
    <vt:vector size="1" baseType="lpstr">
      <vt:lpstr>Kooskõlastustabel ELTSI eelnõu.docx</vt:lpstr>
    </vt:vector>
  </TitlesOfParts>
  <Company/>
  <LinksUpToDate>false</LinksUpToDate>
  <CharactersWithSpaces>151114</CharactersWithSpaces>
  <SharedDoc>false</SharedDoc>
  <HLinks>
    <vt:vector size="54" baseType="variant">
      <vt:variant>
        <vt:i4>6815758</vt:i4>
      </vt:variant>
      <vt:variant>
        <vt:i4>0</vt:i4>
      </vt:variant>
      <vt:variant>
        <vt:i4>0</vt:i4>
      </vt:variant>
      <vt:variant>
        <vt:i4>5</vt:i4>
      </vt:variant>
      <vt:variant>
        <vt:lpwstr>https://eur-lex.europa.eu/legal-content/EN/TXT/?uri=OJ:L_202401747</vt:lpwstr>
      </vt:variant>
      <vt:variant>
        <vt:lpwstr/>
      </vt:variant>
      <vt:variant>
        <vt:i4>5701716</vt:i4>
      </vt:variant>
      <vt:variant>
        <vt:i4>9</vt:i4>
      </vt:variant>
      <vt:variant>
        <vt:i4>0</vt:i4>
      </vt:variant>
      <vt:variant>
        <vt:i4>5</vt:i4>
      </vt:variant>
      <vt:variant>
        <vt:lpwstr>https://planeerimine.ee/aktid-ja-kohtulahendid/orme-planeerimine/kas-valida-uldplaneering-voi-kohaliku-omavalitsuse-eriplaneering-kui-soovitakse-kavandada-olulise-ruumilise-mojuga-ehitist/</vt:lpwstr>
      </vt:variant>
      <vt:variant>
        <vt:lpwstr/>
      </vt:variant>
      <vt:variant>
        <vt:i4>7340149</vt:i4>
      </vt:variant>
      <vt:variant>
        <vt:i4>6</vt:i4>
      </vt:variant>
      <vt:variant>
        <vt:i4>0</vt:i4>
      </vt:variant>
      <vt:variant>
        <vt:i4>5</vt:i4>
      </vt:variant>
      <vt:variant>
        <vt:lpwstr>https://eelnoud.valitsus.ee/main/mount/docList/f26d8568-3786-4f71-9c5c-56f03901b8de</vt:lpwstr>
      </vt:variant>
      <vt:variant>
        <vt:lpwstr/>
      </vt:variant>
      <vt:variant>
        <vt:i4>8192097</vt:i4>
      </vt:variant>
      <vt:variant>
        <vt:i4>3</vt:i4>
      </vt:variant>
      <vt:variant>
        <vt:i4>0</vt:i4>
      </vt:variant>
      <vt:variant>
        <vt:i4>5</vt:i4>
      </vt:variant>
      <vt:variant>
        <vt:lpwstr>https://ec.europa.eu/commission/presscorner/detail/en/IP_24_4567</vt:lpwstr>
      </vt:variant>
      <vt:variant>
        <vt:lpwstr/>
      </vt:variant>
      <vt:variant>
        <vt:i4>5308416</vt:i4>
      </vt:variant>
      <vt:variant>
        <vt:i4>0</vt:i4>
      </vt:variant>
      <vt:variant>
        <vt:i4>0</vt:i4>
      </vt:variant>
      <vt:variant>
        <vt:i4>5</vt:i4>
      </vt:variant>
      <vt:variant>
        <vt:lpwstr>https://windeurope.org/newsroom/press-releases/uk-awards-5-3-gw-of-new-offshore-wind-and-990-mw-of-new-onshore-wind/</vt:lpwstr>
      </vt:variant>
      <vt:variant>
        <vt:lpwstr/>
      </vt:variant>
      <vt:variant>
        <vt:i4>5898255</vt:i4>
      </vt:variant>
      <vt:variant>
        <vt:i4>9</vt:i4>
      </vt:variant>
      <vt:variant>
        <vt:i4>0</vt:i4>
      </vt:variant>
      <vt:variant>
        <vt:i4>5</vt:i4>
      </vt:variant>
      <vt:variant>
        <vt:lpwstr>https://eur-lex.europa.eu/legal-content/EN/TXT/?uri=CELEX%3A32023L2413&amp;qid=1699364355105</vt:lpwstr>
      </vt:variant>
      <vt:variant>
        <vt:lpwstr/>
      </vt:variant>
      <vt:variant>
        <vt:i4>131182</vt:i4>
      </vt:variant>
      <vt:variant>
        <vt:i4>6</vt:i4>
      </vt:variant>
      <vt:variant>
        <vt:i4>0</vt:i4>
      </vt:variant>
      <vt:variant>
        <vt:i4>5</vt:i4>
      </vt:variant>
      <vt:variant>
        <vt:lpwstr>mailto:Hans.Kalmer@kliimaministeerium.ee</vt:lpwstr>
      </vt:variant>
      <vt:variant>
        <vt:lpwstr/>
      </vt:variant>
      <vt:variant>
        <vt:i4>3997776</vt:i4>
      </vt:variant>
      <vt:variant>
        <vt:i4>3</vt:i4>
      </vt:variant>
      <vt:variant>
        <vt:i4>0</vt:i4>
      </vt:variant>
      <vt:variant>
        <vt:i4>5</vt:i4>
      </vt:variant>
      <vt:variant>
        <vt:lpwstr>mailto:Tauno.Hilimon@kliimaministeerium.ee</vt:lpwstr>
      </vt:variant>
      <vt:variant>
        <vt:lpwstr/>
      </vt:variant>
      <vt:variant>
        <vt:i4>3997776</vt:i4>
      </vt:variant>
      <vt:variant>
        <vt:i4>0</vt:i4>
      </vt:variant>
      <vt:variant>
        <vt:i4>0</vt:i4>
      </vt:variant>
      <vt:variant>
        <vt:i4>5</vt:i4>
      </vt:variant>
      <vt:variant>
        <vt:lpwstr>mailto:Tauno.Hilimon@kliimaministeerium.ee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Kooskõlastustabel ELTSI eelnõu.docx</dc:title>
  <dc:subject/>
  <dc:creator>Liisi Moks</dc:creator>
  <dc:description/>
  <cp:lastModifiedBy>Regina Hermandi</cp:lastModifiedBy>
  <cp:revision>61</cp:revision>
  <dcterms:created xsi:type="dcterms:W3CDTF">2024-10-17T06:26:00Z</dcterms:created>
  <dcterms:modified xsi:type="dcterms:W3CDTF">2024-11-08T06:03:00Z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0x010100E2378E1BADFD31468B2C83DAC10F624F</vt:lpwstr>
  </property>
  <property fmtid="{D5CDD505-2E9C-101B-9397-08002B2CF9AE}" pid="3" name="MediaServiceImageTags">
    <vt:lpwstr/>
  </property>
</Properties>
</file>